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47757E">
      <w:pPr>
        <w:pStyle w:val="2"/>
        <w:keepNext/>
        <w:keepLines/>
        <w:pageBreakBefore w:val="0"/>
        <w:widowControl w:val="0"/>
        <w:numPr>
          <w:ilvl w:val="0"/>
          <w:numId w:val="0"/>
        </w:numPr>
        <w:kinsoku/>
        <w:wordWrap/>
        <w:overflowPunct/>
        <w:topLinePunct w:val="0"/>
        <w:autoSpaceDE/>
        <w:autoSpaceDN/>
        <w:bidi w:val="0"/>
        <w:adjustRightInd/>
        <w:snapToGrid/>
        <w:spacing w:after="340" w:line="360" w:lineRule="auto"/>
        <w:jc w:val="center"/>
        <w:textAlignment w:val="auto"/>
        <w:outlineLvl w:val="0"/>
        <w:rPr>
          <w:rStyle w:val="16"/>
          <w:rFonts w:hint="eastAsia" w:ascii="方正小标宋_GBK" w:hAnsi="方正小标宋_GBK" w:eastAsia="方正小标宋_GBK" w:cs="方正小标宋_GBK"/>
          <w:b/>
          <w:bCs/>
          <w:i w:val="0"/>
          <w:iCs w:val="0"/>
          <w:caps w:val="0"/>
          <w:color w:val="000000" w:themeColor="text1"/>
          <w:spacing w:val="0"/>
          <w:sz w:val="32"/>
          <w:szCs w:val="32"/>
          <w:shd w:val="clear" w:color="auto" w:fill="FDFDFE"/>
          <w:lang w:val="en-US" w:eastAsia="zh-CN"/>
          <w14:textFill>
            <w14:solidFill>
              <w14:schemeClr w14:val="tx1"/>
            </w14:solidFill>
          </w14:textFill>
        </w:rPr>
      </w:pPr>
      <w:r>
        <w:rPr>
          <w:rStyle w:val="16"/>
          <w:rFonts w:hint="eastAsia" w:ascii="方正小标宋_GBK" w:hAnsi="方正小标宋_GBK" w:eastAsia="方正小标宋_GBK" w:cs="方正小标宋_GBK"/>
          <w:b/>
          <w:bCs/>
          <w:i w:val="0"/>
          <w:iCs w:val="0"/>
          <w:caps w:val="0"/>
          <w:color w:val="000000" w:themeColor="text1"/>
          <w:spacing w:val="0"/>
          <w:sz w:val="32"/>
          <w:szCs w:val="32"/>
          <w:shd w:val="clear" w:color="auto" w:fill="FDFDFE"/>
          <w:lang w:eastAsia="zh-CN"/>
          <w14:textFill>
            <w14:solidFill>
              <w14:schemeClr w14:val="tx1"/>
            </w14:solidFill>
          </w14:textFill>
        </w:rPr>
        <w:t>贺州市中医医院医院信息系统商用密码应用安全性改造项目</w:t>
      </w:r>
      <w:r>
        <w:rPr>
          <w:rStyle w:val="16"/>
          <w:rFonts w:hint="eastAsia" w:ascii="方正小标宋_GBK" w:hAnsi="方正小标宋_GBK" w:eastAsia="方正小标宋_GBK" w:cs="方正小标宋_GBK"/>
          <w:b/>
          <w:bCs/>
          <w:i w:val="0"/>
          <w:iCs w:val="0"/>
          <w:caps w:val="0"/>
          <w:color w:val="000000" w:themeColor="text1"/>
          <w:spacing w:val="0"/>
          <w:sz w:val="32"/>
          <w:szCs w:val="32"/>
          <w:shd w:val="clear" w:color="auto" w:fill="FDFDFE"/>
          <w14:textFill>
            <w14:solidFill>
              <w14:schemeClr w14:val="tx1"/>
            </w14:solidFill>
          </w14:textFill>
        </w:rPr>
        <w:t>采购</w:t>
      </w:r>
      <w:r>
        <w:rPr>
          <w:rStyle w:val="16"/>
          <w:rFonts w:hint="eastAsia" w:ascii="方正小标宋_GBK" w:hAnsi="方正小标宋_GBK" w:eastAsia="方正小标宋_GBK" w:cs="方正小标宋_GBK"/>
          <w:b/>
          <w:bCs/>
          <w:i w:val="0"/>
          <w:iCs w:val="0"/>
          <w:caps w:val="0"/>
          <w:color w:val="000000" w:themeColor="text1"/>
          <w:spacing w:val="0"/>
          <w:sz w:val="32"/>
          <w:szCs w:val="32"/>
          <w:shd w:val="clear" w:color="auto" w:fill="FDFDFE"/>
          <w:lang w:eastAsia="zh-CN"/>
          <w14:textFill>
            <w14:solidFill>
              <w14:schemeClr w14:val="tx1"/>
            </w14:solidFill>
          </w14:textFill>
        </w:rPr>
        <w:t>市场调研响应文件</w:t>
      </w:r>
    </w:p>
    <w:p w14:paraId="0EFD6005">
      <w:pPr>
        <w:keepNext w:val="0"/>
        <w:keepLines w:val="0"/>
        <w:widowControl/>
        <w:suppressLineNumbers w:val="0"/>
        <w:spacing w:line="360" w:lineRule="auto"/>
        <w:jc w:val="left"/>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pPr>
      <w:bookmarkStart w:id="0" w:name="_Toc25741"/>
      <w:r>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t>各潜在供应商：</w:t>
      </w:r>
    </w:p>
    <w:p w14:paraId="654E710B">
      <w:pPr>
        <w:keepNext w:val="0"/>
        <w:keepLines w:val="0"/>
        <w:widowControl/>
        <w:suppressLineNumbers w:val="0"/>
        <w:spacing w:line="360" w:lineRule="auto"/>
        <w:ind w:firstLine="480" w:firstLineChars="200"/>
        <w:jc w:val="left"/>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pPr>
      <w:r>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t>为加强政府采购需求管理，确保采购需求的完整性及明确性，实现政府采购项目绩效目标，特向潜在供应商开展采购需求调查，现将有关事宜公告如下：</w:t>
      </w:r>
    </w:p>
    <w:p w14:paraId="78C84D69">
      <w:pPr>
        <w:keepNext w:val="0"/>
        <w:keepLines w:val="0"/>
        <w:widowControl/>
        <w:suppressLineNumbers w:val="0"/>
        <w:spacing w:line="360" w:lineRule="auto"/>
        <w:ind w:firstLine="482" w:firstLineChars="200"/>
        <w:jc w:val="left"/>
        <w:rPr>
          <w:rFonts w:hint="default" w:ascii="仿宋" w:hAnsi="仿宋" w:eastAsia="仿宋" w:cs="仿宋"/>
          <w:b/>
          <w:bCs/>
          <w:color w:val="000000" w:themeColor="text1"/>
          <w:kern w:val="2"/>
          <w:sz w:val="24"/>
          <w:szCs w:val="24"/>
          <w:lang w:val="en-US" w:eastAsia="zh-CN" w:bidi="ar"/>
          <w14:textFill>
            <w14:solidFill>
              <w14:schemeClr w14:val="tx1"/>
            </w14:solidFill>
          </w14:textFill>
        </w:rPr>
      </w:pPr>
      <w:r>
        <w:rPr>
          <w:rFonts w:hint="eastAsia" w:ascii="仿宋" w:hAnsi="仿宋" w:eastAsia="仿宋" w:cs="仿宋"/>
          <w:b/>
          <w:bCs/>
          <w:color w:val="000000" w:themeColor="text1"/>
          <w:kern w:val="2"/>
          <w:sz w:val="24"/>
          <w:szCs w:val="24"/>
          <w:lang w:val="en-US" w:eastAsia="zh-CN" w:bidi="ar"/>
          <w14:textFill>
            <w14:solidFill>
              <w14:schemeClr w14:val="tx1"/>
            </w14:solidFill>
          </w14:textFill>
        </w:rPr>
        <w:t>一、调研目的</w:t>
      </w:r>
    </w:p>
    <w:p w14:paraId="641D81FD">
      <w:pPr>
        <w:pStyle w:val="18"/>
        <w:ind w:firstLine="480" w:firstLineChars="200"/>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pPr>
      <w:r>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t>随着信息技术在医疗行业的深度融合，医院信息系统已成为医院运营、诊疗服务、患者管理的核心支撑，涵盖电子病历、诊疗数据、药品管理、收费系统、患者隐私信息等关键数据资源。然而，网络安全威胁的日益复杂、数据泄露风险的持续攀升，以及《中华人民共和国密码法》《信息安全技术 信息系统密码应用基本要求》（GB/T 39786 - 2021）等法律法规的强制要求，使得智慧医院信息系统的商用密码应用安全性成为保障医院信息安全、维护患者权益、确保医疗服务稳定运行的关键环节。</w:t>
      </w:r>
    </w:p>
    <w:p w14:paraId="5B3F62DB">
      <w:pPr>
        <w:pStyle w:val="18"/>
        <w:ind w:firstLine="480" w:firstLineChars="200"/>
        <w:rPr>
          <w:rFonts w:hint="eastAsia" w:ascii="仿宋" w:hAnsi="仿宋" w:eastAsia="仿宋" w:cs="仿宋"/>
          <w:color w:val="000000" w:themeColor="text1"/>
          <w:kern w:val="2"/>
          <w:sz w:val="24"/>
          <w:szCs w:val="24"/>
          <w:lang w:val="en-US" w:eastAsia="zh-CN" w:bidi="ar"/>
          <w14:textFill>
            <w14:solidFill>
              <w14:schemeClr w14:val="tx1"/>
            </w14:solidFill>
          </w14:textFill>
        </w:rPr>
      </w:pPr>
      <w:r>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t>当前，医院信息系统在建设初期未充分考虑商用密码应用需求，存在密码算法不合规、密钥管理不规范、密码服务部署不全面等问题，无法满足等保 2.0 及商用密码应用安全性评估（简称 “密评”）的相关要求。为切实提升医院信息系统的安全防护能力，保障医疗数据的机密性、完整性和可用性，本单位拟启动医院信息系统商用密码应用安全性改造项目，并通过本次市场调研，全面了解市场上密码产品的供应情况、价格区间，为后续项目采购方案制定、招标工作开展提供科学依据。</w:t>
      </w:r>
    </w:p>
    <w:p w14:paraId="71B4F569">
      <w:pPr>
        <w:keepNext w:val="0"/>
        <w:keepLines w:val="0"/>
        <w:widowControl/>
        <w:numPr>
          <w:ilvl w:val="0"/>
          <w:numId w:val="1"/>
        </w:numPr>
        <w:suppressLineNumbers w:val="0"/>
        <w:spacing w:line="360" w:lineRule="auto"/>
        <w:ind w:firstLine="482" w:firstLineChars="200"/>
        <w:jc w:val="left"/>
        <w:rPr>
          <w:rFonts w:hint="eastAsia" w:ascii="仿宋" w:hAnsi="仿宋" w:eastAsia="仿宋" w:cs="仿宋"/>
          <w:b/>
          <w:bCs/>
          <w:color w:val="000000" w:themeColor="text1"/>
          <w:kern w:val="2"/>
          <w:sz w:val="24"/>
          <w:szCs w:val="24"/>
          <w:lang w:val="en-US" w:eastAsia="zh-CN" w:bidi="ar"/>
          <w14:textFill>
            <w14:solidFill>
              <w14:schemeClr w14:val="tx1"/>
            </w14:solidFill>
          </w14:textFill>
        </w:rPr>
      </w:pPr>
      <w:r>
        <w:rPr>
          <w:rFonts w:hint="eastAsia" w:ascii="仿宋" w:hAnsi="仿宋" w:eastAsia="仿宋" w:cs="仿宋"/>
          <w:b/>
          <w:bCs/>
          <w:color w:val="000000" w:themeColor="text1"/>
          <w:kern w:val="2"/>
          <w:sz w:val="24"/>
          <w:szCs w:val="24"/>
          <w:lang w:val="en-US" w:eastAsia="zh-CN" w:bidi="ar"/>
          <w14:textFill>
            <w14:solidFill>
              <w14:schemeClr w14:val="tx1"/>
            </w14:solidFill>
          </w14:textFill>
        </w:rPr>
        <w:t>调研需求</w:t>
      </w:r>
    </w:p>
    <w:tbl>
      <w:tblPr>
        <w:tblStyle w:val="14"/>
        <w:tblW w:w="48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
        <w:gridCol w:w="4912"/>
        <w:gridCol w:w="2643"/>
      </w:tblGrid>
      <w:tr w14:paraId="13F6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454" w:type="pct"/>
            <w:vAlign w:val="center"/>
          </w:tcPr>
          <w:p w14:paraId="7516F0E2">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jc w:val="center"/>
              <w:textAlignment w:val="auto"/>
              <w:rPr>
                <w:rFonts w:hint="eastAsia" w:ascii="仿宋" w:hAnsi="仿宋" w:eastAsia="仿宋" w:cs="仿宋"/>
                <w:b/>
                <w:bCs/>
                <w:color w:val="000000" w:themeColor="text1"/>
                <w:kern w:val="0"/>
                <w:sz w:val="24"/>
                <w:szCs w:val="24"/>
                <w14:textFill>
                  <w14:solidFill>
                    <w14:schemeClr w14:val="tx1"/>
                  </w14:solidFill>
                </w14:textFill>
              </w:rPr>
            </w:pPr>
            <w:r>
              <w:rPr>
                <w:rFonts w:hint="eastAsia" w:ascii="仿宋" w:hAnsi="仿宋" w:eastAsia="仿宋" w:cs="仿宋"/>
                <w:b/>
                <w:bCs/>
                <w:color w:val="000000" w:themeColor="text1"/>
                <w:kern w:val="0"/>
                <w:sz w:val="24"/>
                <w:szCs w:val="24"/>
                <w14:textFill>
                  <w14:solidFill>
                    <w14:schemeClr w14:val="tx1"/>
                  </w14:solidFill>
                </w14:textFill>
              </w:rPr>
              <w:t>序号</w:t>
            </w:r>
          </w:p>
        </w:tc>
        <w:tc>
          <w:tcPr>
            <w:tcW w:w="2955" w:type="pct"/>
            <w:vAlign w:val="center"/>
          </w:tcPr>
          <w:p w14:paraId="567D60E6">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jc w:val="center"/>
              <w:textAlignment w:val="auto"/>
              <w:rPr>
                <w:rFonts w:hint="eastAsia" w:ascii="仿宋" w:hAnsi="仿宋" w:eastAsia="仿宋" w:cs="仿宋"/>
                <w:b/>
                <w:bCs/>
                <w:color w:val="000000" w:themeColor="text1"/>
                <w:kern w:val="0"/>
                <w:sz w:val="24"/>
                <w:szCs w:val="24"/>
                <w14:textFill>
                  <w14:solidFill>
                    <w14:schemeClr w14:val="tx1"/>
                  </w14:solidFill>
                </w14:textFill>
              </w:rPr>
            </w:pPr>
            <w:r>
              <w:rPr>
                <w:rFonts w:hint="eastAsia" w:ascii="仿宋" w:hAnsi="仿宋" w:eastAsia="仿宋" w:cs="仿宋"/>
                <w:b/>
                <w:bCs/>
                <w:color w:val="000000" w:themeColor="text1"/>
                <w:kern w:val="0"/>
                <w:sz w:val="24"/>
                <w:szCs w:val="24"/>
                <w:lang w:val="en-US" w:eastAsia="zh-CN"/>
                <w14:textFill>
                  <w14:solidFill>
                    <w14:schemeClr w14:val="tx1"/>
                  </w14:solidFill>
                </w14:textFill>
              </w:rPr>
              <w:t>项目</w:t>
            </w:r>
            <w:r>
              <w:rPr>
                <w:rFonts w:hint="eastAsia" w:ascii="仿宋" w:hAnsi="仿宋" w:eastAsia="仿宋" w:cs="仿宋"/>
                <w:b/>
                <w:bCs/>
                <w:color w:val="000000" w:themeColor="text1"/>
                <w:kern w:val="0"/>
                <w:sz w:val="24"/>
                <w:szCs w:val="24"/>
                <w14:textFill>
                  <w14:solidFill>
                    <w14:schemeClr w14:val="tx1"/>
                  </w14:solidFill>
                </w14:textFill>
              </w:rPr>
              <w:t>名称</w:t>
            </w:r>
          </w:p>
        </w:tc>
        <w:tc>
          <w:tcPr>
            <w:tcW w:w="1589" w:type="pct"/>
            <w:vAlign w:val="center"/>
          </w:tcPr>
          <w:p w14:paraId="2D2856D8">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jc w:val="center"/>
              <w:textAlignment w:val="auto"/>
              <w:rPr>
                <w:rFonts w:hint="eastAsia" w:ascii="仿宋" w:hAnsi="仿宋" w:eastAsia="仿宋" w:cs="仿宋"/>
                <w:b/>
                <w:bCs/>
                <w:color w:val="000000" w:themeColor="text1"/>
                <w:kern w:val="0"/>
                <w:sz w:val="24"/>
                <w:szCs w:val="24"/>
                <w14:textFill>
                  <w14:solidFill>
                    <w14:schemeClr w14:val="tx1"/>
                  </w14:solidFill>
                </w14:textFill>
              </w:rPr>
            </w:pPr>
            <w:r>
              <w:rPr>
                <w:rFonts w:hint="eastAsia" w:ascii="仿宋" w:hAnsi="仿宋" w:eastAsia="仿宋" w:cs="仿宋"/>
                <w:b/>
                <w:bCs/>
                <w:color w:val="000000" w:themeColor="text1"/>
                <w:kern w:val="0"/>
                <w:sz w:val="24"/>
                <w:szCs w:val="24"/>
                <w14:textFill>
                  <w14:solidFill>
                    <w14:schemeClr w14:val="tx1"/>
                  </w14:solidFill>
                </w14:textFill>
              </w:rPr>
              <w:t>采购</w:t>
            </w:r>
            <w:r>
              <w:rPr>
                <w:rFonts w:hint="eastAsia" w:ascii="仿宋" w:hAnsi="仿宋" w:eastAsia="仿宋" w:cs="仿宋"/>
                <w:b/>
                <w:bCs/>
                <w:color w:val="000000" w:themeColor="text1"/>
                <w:kern w:val="0"/>
                <w:sz w:val="24"/>
                <w:szCs w:val="24"/>
                <w:lang w:val="en-US" w:eastAsia="zh-CN"/>
                <w14:textFill>
                  <w14:solidFill>
                    <w14:schemeClr w14:val="tx1"/>
                  </w14:solidFill>
                </w14:textFill>
              </w:rPr>
              <w:t>内容</w:t>
            </w:r>
            <w:r>
              <w:rPr>
                <w:rFonts w:hint="eastAsia" w:ascii="仿宋" w:hAnsi="仿宋" w:eastAsia="仿宋" w:cs="仿宋"/>
                <w:b/>
                <w:bCs/>
                <w:color w:val="000000" w:themeColor="text1"/>
                <w:kern w:val="0"/>
                <w:sz w:val="24"/>
                <w:szCs w:val="24"/>
                <w14:textFill>
                  <w14:solidFill>
                    <w14:schemeClr w14:val="tx1"/>
                  </w14:solidFill>
                </w14:textFill>
              </w:rPr>
              <w:t>需求</w:t>
            </w:r>
          </w:p>
        </w:tc>
      </w:tr>
      <w:tr w14:paraId="08DDF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454" w:type="pct"/>
            <w:vAlign w:val="center"/>
          </w:tcPr>
          <w:p w14:paraId="43778501">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jc w:val="center"/>
              <w:textAlignment w:val="auto"/>
              <w:rPr>
                <w:rFonts w:hint="eastAsia" w:ascii="仿宋" w:hAnsi="仿宋" w:eastAsia="仿宋" w:cs="仿宋"/>
                <w:color w:val="000000" w:themeColor="text1"/>
                <w:kern w:val="0"/>
                <w:sz w:val="24"/>
                <w:szCs w:val="24"/>
                <w14:textFill>
                  <w14:solidFill>
                    <w14:schemeClr w14:val="tx1"/>
                  </w14:solidFill>
                </w14:textFill>
              </w:rPr>
            </w:pPr>
            <w:r>
              <w:rPr>
                <w:rFonts w:hint="eastAsia" w:ascii="仿宋" w:hAnsi="仿宋" w:eastAsia="仿宋" w:cs="仿宋"/>
                <w:color w:val="000000" w:themeColor="text1"/>
                <w:kern w:val="0"/>
                <w:sz w:val="24"/>
                <w:szCs w:val="24"/>
                <w14:textFill>
                  <w14:solidFill>
                    <w14:schemeClr w14:val="tx1"/>
                  </w14:solidFill>
                </w14:textFill>
              </w:rPr>
              <w:t>1</w:t>
            </w:r>
          </w:p>
        </w:tc>
        <w:tc>
          <w:tcPr>
            <w:tcW w:w="2955" w:type="pct"/>
            <w:vAlign w:val="center"/>
          </w:tcPr>
          <w:p w14:paraId="48B74960">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jc w:val="center"/>
              <w:textAlignment w:val="auto"/>
              <w:rPr>
                <w:rFonts w:hint="default" w:ascii="仿宋" w:hAnsi="仿宋" w:eastAsia="仿宋" w:cs="仿宋"/>
                <w:b w:val="0"/>
                <w:bCs w:val="0"/>
                <w:color w:val="000000" w:themeColor="text1"/>
                <w:kern w:val="0"/>
                <w:sz w:val="24"/>
                <w:szCs w:val="24"/>
                <w:highlight w:val="none"/>
                <w:lang w:val="en-US" w:eastAsia="zh-CN"/>
                <w14:textFill>
                  <w14:solidFill>
                    <w14:schemeClr w14:val="tx1"/>
                  </w14:solidFill>
                </w14:textFill>
              </w:rPr>
            </w:pPr>
            <w:r>
              <w:rPr>
                <w:rFonts w:hint="eastAsia" w:ascii="仿宋" w:hAnsi="仿宋" w:eastAsia="仿宋" w:cs="仿宋"/>
                <w:b w:val="0"/>
                <w:bCs w:val="0"/>
                <w:color w:val="000000" w:themeColor="text1"/>
                <w:kern w:val="0"/>
                <w:sz w:val="24"/>
                <w:szCs w:val="24"/>
                <w:highlight w:val="none"/>
                <w:lang w:val="en-US" w:eastAsia="zh-CN"/>
                <w14:textFill>
                  <w14:solidFill>
                    <w14:schemeClr w14:val="tx1"/>
                  </w14:solidFill>
                </w14:textFill>
              </w:rPr>
              <w:t>医院信息系统商用密码应用安全性改造项目</w:t>
            </w:r>
          </w:p>
        </w:tc>
        <w:tc>
          <w:tcPr>
            <w:tcW w:w="1589" w:type="pct"/>
            <w:vAlign w:val="center"/>
          </w:tcPr>
          <w:p w14:paraId="3AA7A8B4">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jc w:val="center"/>
              <w:textAlignment w:val="auto"/>
              <w:rPr>
                <w:rFonts w:hint="default" w:ascii="仿宋" w:hAnsi="仿宋" w:eastAsia="仿宋" w:cs="仿宋"/>
                <w:b w:val="0"/>
                <w:bCs w:val="0"/>
                <w:color w:val="000000" w:themeColor="text1"/>
                <w:kern w:val="0"/>
                <w:sz w:val="24"/>
                <w:szCs w:val="24"/>
                <w:highlight w:val="none"/>
                <w:lang w:val="en-US" w:eastAsia="zh-CN"/>
                <w14:textFill>
                  <w14:solidFill>
                    <w14:schemeClr w14:val="tx1"/>
                  </w14:solidFill>
                </w14:textFill>
              </w:rPr>
            </w:pPr>
            <w:r>
              <w:rPr>
                <w:rFonts w:hint="eastAsia" w:ascii="仿宋" w:hAnsi="仿宋" w:eastAsia="仿宋" w:cs="仿宋"/>
                <w:b w:val="0"/>
                <w:bCs w:val="0"/>
                <w:color w:val="000000" w:themeColor="text1"/>
                <w:kern w:val="0"/>
                <w:sz w:val="24"/>
                <w:szCs w:val="24"/>
                <w:highlight w:val="none"/>
                <w14:textFill>
                  <w14:solidFill>
                    <w14:schemeClr w14:val="tx1"/>
                  </w14:solidFill>
                </w14:textFill>
              </w:rPr>
              <w:t>具体要求详见附件</w:t>
            </w:r>
            <w:r>
              <w:rPr>
                <w:rFonts w:hint="eastAsia" w:ascii="仿宋" w:hAnsi="仿宋" w:eastAsia="仿宋" w:cs="仿宋"/>
                <w:b w:val="0"/>
                <w:bCs w:val="0"/>
                <w:color w:val="000000" w:themeColor="text1"/>
                <w:kern w:val="0"/>
                <w:sz w:val="24"/>
                <w:szCs w:val="24"/>
                <w:highlight w:val="none"/>
                <w:lang w:val="en-US" w:eastAsia="zh-CN"/>
                <w14:textFill>
                  <w14:solidFill>
                    <w14:schemeClr w14:val="tx1"/>
                  </w14:solidFill>
                </w14:textFill>
              </w:rPr>
              <w:t>1</w:t>
            </w:r>
          </w:p>
        </w:tc>
      </w:tr>
    </w:tbl>
    <w:p w14:paraId="6912EB6B">
      <w:pPr>
        <w:keepNext w:val="0"/>
        <w:keepLines w:val="0"/>
        <w:widowControl/>
        <w:numPr>
          <w:ilvl w:val="0"/>
          <w:numId w:val="0"/>
        </w:numPr>
        <w:suppressLineNumbers w:val="0"/>
        <w:spacing w:line="360" w:lineRule="auto"/>
        <w:jc w:val="left"/>
        <w:rPr>
          <w:rFonts w:hint="default" w:ascii="仿宋" w:hAnsi="仿宋" w:eastAsia="仿宋" w:cs="仿宋"/>
          <w:b/>
          <w:bCs/>
          <w:color w:val="000000" w:themeColor="text1"/>
          <w:kern w:val="2"/>
          <w:sz w:val="24"/>
          <w:szCs w:val="24"/>
          <w:lang w:val="en-US" w:eastAsia="zh-CN" w:bidi="ar"/>
          <w14:textFill>
            <w14:solidFill>
              <w14:schemeClr w14:val="tx1"/>
            </w14:solidFill>
          </w14:textFill>
        </w:rPr>
      </w:pPr>
    </w:p>
    <w:bookmarkEnd w:id="0"/>
    <w:p w14:paraId="66C81902">
      <w:pPr>
        <w:pStyle w:val="18"/>
        <w:ind w:firstLine="480" w:firstLineChars="200"/>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pPr>
      <w:r>
        <w:rPr>
          <w:rFonts w:hint="eastAsia" w:ascii="仿宋_GB2312" w:hAnsi="仿宋_GB2312" w:eastAsia="仿宋_GB2312" w:cs="仿宋_GB2312"/>
          <w:color w:val="000000" w:themeColor="text1"/>
          <w:kern w:val="2"/>
          <w:sz w:val="24"/>
          <w:szCs w:val="24"/>
          <w:lang w:val="en-US" w:eastAsia="zh-CN" w:bidi="ar"/>
          <w14:textFill>
            <w14:solidFill>
              <w14:schemeClr w14:val="tx1"/>
            </w14:solidFill>
          </w14:textFill>
        </w:rPr>
        <w:t>本次采购项目核心目标为：完成医院信息系统商用密码应用安全性改造，确保医院信息系统满足国家商用密码相关法律法规及标准规范要求，通过相关主管部门的密评备案与检测。</w:t>
      </w:r>
    </w:p>
    <w:p w14:paraId="0958BCC1">
      <w:pPr>
        <w:bidi w:val="0"/>
        <w:rPr>
          <w:rFonts w:hint="eastAsia"/>
        </w:rPr>
      </w:pPr>
    </w:p>
    <w:p w14:paraId="107B619B">
      <w:pPr>
        <w:bidi w:val="0"/>
        <w:rPr>
          <w:rFonts w:hint="eastAsia"/>
          <w:lang w:val="en-US" w:eastAsia="zh-CN"/>
        </w:rPr>
      </w:pPr>
    </w:p>
    <w:p w14:paraId="08746EF8">
      <w:pPr>
        <w:bidi w:val="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附件1：密码产品清单</w:t>
      </w:r>
    </w:p>
    <w:tbl>
      <w:tblPr>
        <w:tblStyle w:val="14"/>
        <w:tblW w:w="11716" w:type="dxa"/>
        <w:tblInd w:w="-15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6"/>
        <w:gridCol w:w="720"/>
        <w:gridCol w:w="9638"/>
        <w:gridCol w:w="467"/>
        <w:gridCol w:w="425"/>
      </w:tblGrid>
      <w:tr w14:paraId="320C1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545F31B">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序号</w:t>
            </w:r>
          </w:p>
        </w:tc>
        <w:tc>
          <w:tcPr>
            <w:tcW w:w="720" w:type="dxa"/>
          </w:tcPr>
          <w:p w14:paraId="1CF4ACA5">
            <w:pPr>
              <w:bidi w:val="0"/>
              <w:rPr>
                <w:rFonts w:hint="default"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设备名称</w:t>
            </w:r>
          </w:p>
        </w:tc>
        <w:tc>
          <w:tcPr>
            <w:tcW w:w="9638" w:type="dxa"/>
          </w:tcPr>
          <w:p w14:paraId="787B6733">
            <w:pPr>
              <w:bidi w:val="0"/>
              <w:jc w:val="center"/>
              <w:rPr>
                <w:rFonts w:hint="eastAsia" w:ascii="仿宋_GB2312" w:hAnsi="仿宋_GB2312" w:eastAsia="仿宋_GB2312" w:cs="仿宋_GB2312"/>
                <w:sz w:val="18"/>
                <w:szCs w:val="18"/>
                <w:vertAlign w:val="baseline"/>
                <w:lang w:val="en-US" w:eastAsia="zh-CN"/>
              </w:rPr>
            </w:pPr>
          </w:p>
          <w:p w14:paraId="32955A34">
            <w:pPr>
              <w:bidi w:val="0"/>
              <w:jc w:val="center"/>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参数</w:t>
            </w:r>
          </w:p>
        </w:tc>
        <w:tc>
          <w:tcPr>
            <w:tcW w:w="467" w:type="dxa"/>
          </w:tcPr>
          <w:p w14:paraId="09CF9814">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数</w:t>
            </w:r>
          </w:p>
          <w:p w14:paraId="4475329C">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量</w:t>
            </w:r>
          </w:p>
        </w:tc>
        <w:tc>
          <w:tcPr>
            <w:tcW w:w="425" w:type="dxa"/>
          </w:tcPr>
          <w:p w14:paraId="0724A773">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单</w:t>
            </w:r>
          </w:p>
          <w:p w14:paraId="49023F6B">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位</w:t>
            </w:r>
          </w:p>
        </w:tc>
      </w:tr>
      <w:tr w14:paraId="1DA82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79C8A931">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720" w:type="dxa"/>
          </w:tcPr>
          <w:p w14:paraId="65815C6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国密门禁系统</w:t>
            </w:r>
          </w:p>
        </w:tc>
        <w:tc>
          <w:tcPr>
            <w:tcW w:w="9638" w:type="dxa"/>
          </w:tcPr>
          <w:p w14:paraId="2FD2A30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1、符合密评要求的整体国密门禁一体化硬件网关，1U标准机架式，专用硬件平台和安全操作系统。（提供符合GM/T0036的国密产品认证证书和检测报告）</w:t>
            </w:r>
          </w:p>
          <w:p w14:paraId="5658763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2、配置国密二级及以上加密卡，具有国密二级及以上密码模块认证证书。（提供密码模块国密产品认证证书）</w:t>
            </w:r>
          </w:p>
          <w:p w14:paraId="557DC139">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3、即插即用，无需与密码机或签名验签服务器联调。</w:t>
            </w:r>
          </w:p>
          <w:p w14:paraId="04263B3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4、系统功能至少具备基础信息管理、消费业务管理、门禁业务管理、考勤业务管理、巡更业务管理、访客管理、报表与查询等功能。</w:t>
            </w:r>
          </w:p>
          <w:p w14:paraId="6447AB7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5、支持数据导入、导入查询功能，在有大量的部门数据、人员数据时，可以通过数据导入添加部门及人员（提供产品页面截图）。</w:t>
            </w:r>
          </w:p>
          <w:p w14:paraId="3EF0B278">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6、支持对门禁进出记录完整性保护，可通过页面直接查看完整性记录情况。门禁完整性的设计采用的SM2算法，提供产品的进出记录完整性保护实现的代码片段（提供产品页面和代码片段截图）。</w:t>
            </w:r>
          </w:p>
          <w:p w14:paraId="33C9E94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7、报表功能：按自定义时间加按可以按员工姓名，门，部门、工号等查询通行，拒绝明细表，未关门员工表。可以查询员工详细报表</w:t>
            </w:r>
          </w:p>
          <w:p w14:paraId="01C4934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8、支持巡更任务的管理能力，巡更任务管理用来管理在线巡更的巡更人员、巡更事件、巡更任务等。</w:t>
            </w:r>
          </w:p>
          <w:p w14:paraId="3A49428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9、授权管理，支持可进行分时段、分级别、分区域管理，权限组管理用来管理访问组、门组、时间段和假日设置，支持授权仅卡方式开门、卡+密码方式开门等（提供产品页面截图）。</w:t>
            </w:r>
          </w:p>
          <w:p w14:paraId="094935D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10、门禁管理系统软件应具有国家版权局颁发的软件著作权证书。</w:t>
            </w:r>
          </w:p>
          <w:p w14:paraId="520D9EB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11、支持配置文件离线加解密，密态文件支持任意位置存储，可离线定向解密；指纹认证通过后解锁交互界面执行解密操作。</w:t>
            </w:r>
          </w:p>
        </w:tc>
        <w:tc>
          <w:tcPr>
            <w:tcW w:w="467" w:type="dxa"/>
          </w:tcPr>
          <w:p w14:paraId="236EAC5E">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0E8D570B">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套</w:t>
            </w:r>
          </w:p>
        </w:tc>
      </w:tr>
      <w:tr w14:paraId="08FF1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4C6C4AC0">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2</w:t>
            </w:r>
          </w:p>
        </w:tc>
        <w:tc>
          <w:tcPr>
            <w:tcW w:w="720" w:type="dxa"/>
          </w:tcPr>
          <w:p w14:paraId="79F402FB">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国密监控系统</w:t>
            </w:r>
          </w:p>
        </w:tc>
        <w:tc>
          <w:tcPr>
            <w:tcW w:w="9638" w:type="dxa"/>
          </w:tcPr>
          <w:p w14:paraId="2DDE5D8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1、内置国密二级安全芯片，支持国密SM1/SM2/SM3/SM4算法；支持海康、宇视、大华、华为等主流IPC、NVR产品的接入，可适配各种视频监控场景。（提供国密二级安全芯片商密证书）</w:t>
            </w:r>
          </w:p>
          <w:p w14:paraId="6B49B28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2、产品应具有交换能力，提供的设备具备≥2路10M/100M/1000M自适应以太网电口。支持至少8路视频接入。</w:t>
            </w:r>
          </w:p>
          <w:p w14:paraId="7E2D383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3、产品内置视频数据安全与防护系统密码模块，串联于 IPC (网络摄像头)和 NVR(网络视频录像机)之间，具有密钥管理、视频数据加解密、视频数据签名验签功能；整机符合 GM/T0028《密码模块安全技术要求》安全等级第二级相关要求。（提供国密产品认证证书）</w:t>
            </w:r>
          </w:p>
          <w:p w14:paraId="06100D41">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4、支持TCP/UDP协议、SIP，兼容H.264和H.265编码协议；支持对符合GB/T28181的视频流进行传输的机密性保护。</w:t>
            </w:r>
          </w:p>
          <w:p w14:paraId="0C92C3E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5、视频数据完整性采用关键帧方式进行签名，能通过设备自身进行完整性抓包分析，查看签名值，验签公钥等信息，支持将上述信息导出为word文档功能。</w:t>
            </w:r>
          </w:p>
          <w:p w14:paraId="745D396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6、产品配置可选、即插即用、使用便捷、安全可控；设备部署不需改变原有网络架构，无需更换摄像头和NVR就可以实现视频数据的传输、存储进行机密性、完整性保护。</w:t>
            </w:r>
          </w:p>
          <w:p w14:paraId="24FB0BC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7、具有国家权威机构颁发的“视音频监控设备及其安全认证”相关专利证明材料。</w:t>
            </w:r>
          </w:p>
          <w:p w14:paraId="209037C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8、支持配置文件离线加解密，密态文件支持任意位置存储，可离线定向解密；指纹认证通过后解锁交互界面执行解密操作。</w:t>
            </w:r>
          </w:p>
        </w:tc>
        <w:tc>
          <w:tcPr>
            <w:tcW w:w="467" w:type="dxa"/>
          </w:tcPr>
          <w:p w14:paraId="6EBB3DCC">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4F51875A">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套</w:t>
            </w:r>
          </w:p>
        </w:tc>
      </w:tr>
      <w:tr w14:paraId="1D019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D4D0019">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3</w:t>
            </w:r>
          </w:p>
        </w:tc>
        <w:tc>
          <w:tcPr>
            <w:tcW w:w="720" w:type="dxa"/>
          </w:tcPr>
          <w:p w14:paraId="4DD8F05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数据加解密服务系统服务器</w:t>
            </w:r>
          </w:p>
        </w:tc>
        <w:tc>
          <w:tcPr>
            <w:tcW w:w="9638" w:type="dxa"/>
          </w:tcPr>
          <w:p w14:paraId="0FAF587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一、硬件要求：</w:t>
            </w:r>
          </w:p>
          <w:p w14:paraId="14D8EE31">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标准2U设备，双电源，1T硬盘 ，16G内存</w:t>
            </w:r>
          </w:p>
          <w:p w14:paraId="50C6DE2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二、性能要求：</w:t>
            </w:r>
          </w:p>
          <w:p w14:paraId="26E84F9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 xml:space="preserve">最大在线加解密吞吐量 （SM4）：3Gbps </w:t>
            </w:r>
          </w:p>
          <w:p w14:paraId="198CC60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最大每秒在线加解密处理能力 （SM4）：15000</w:t>
            </w:r>
          </w:p>
          <w:p w14:paraId="7E9F517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三、功能参数</w:t>
            </w:r>
          </w:p>
          <w:p w14:paraId="26A58AE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1、支持三级密钥管理体系</w:t>
            </w:r>
          </w:p>
          <w:p w14:paraId="560956D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支持对称密钥和非对称密钥的生成、更新、备份、恢复、归档、销毁等全生命周期管理操作：支持以密钥分量方式导入/导出根密钥，支持以密码信封方式导入/导出对称密钥，支持多种门限方案的密钥备份与恢复机制，并且支持密钥跨版本恢复。</w:t>
            </w:r>
          </w:p>
          <w:p w14:paraId="678D1554">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rPr>
              <w:t>3、支持业务代码无需改造的数据库切面加密功能，加密粒度支持字段级。支持切面加密配置的生命周期管理，防止数据库重复加密或二次解密。</w:t>
            </w:r>
          </w:p>
          <w:p w14:paraId="77464FF9">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4、支持保留格式加密，保持数据格式和长度不变。</w:t>
            </w:r>
          </w:p>
          <w:p w14:paraId="2A5E399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5、支持高强度的密钥生成、加密、解密方法及装置，支持对结构化数据和非结构化数据加解密，支持对称密钥和非对称密钥加解密。</w:t>
            </w:r>
          </w:p>
          <w:p w14:paraId="492B124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6、支持进行同态加密的密钥传输、储存以及加密计算功能，拥有相关加密技术成果。</w:t>
            </w:r>
          </w:p>
          <w:p w14:paraId="28BF4AF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7、支持密钥的分发或注入、密钥更新、密钥归档、密钥恢复、密钥审计等功能。支持设置密钥计划删除周期，并可对系统中近三天内即将被删除的密钥进行告警提示。</w:t>
            </w:r>
          </w:p>
          <w:p w14:paraId="5F0F85D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8、支持字段级加密，同时保持数据库数据不做修改。</w:t>
            </w:r>
          </w:p>
          <w:p w14:paraId="0C36A495">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rPr>
              <w:t>9、支持切面脱敏，并支持自定义脱敏策略。</w:t>
            </w:r>
          </w:p>
          <w:p w14:paraId="5A6FC01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10、支持凭据管理能力，支持对用户名口令、AK/SK、SSH Key等凭据进行管理。</w:t>
            </w:r>
          </w:p>
          <w:p w14:paraId="30DC1BCD">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rPr>
              <w:t>11、支持KMIP客户端管理：支持新增、删除、停用KIMP客户端，可配置KMIP客户端认证方式、通信方式、操作权限等。</w:t>
            </w:r>
          </w:p>
          <w:p w14:paraId="075435A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12、支持一键巡检：对网络、加密卡、HA、SSL、密码算法等关键系统功能进行检查，并输出结果。</w:t>
            </w:r>
          </w:p>
          <w:p w14:paraId="60052F4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 xml:space="preserve">13、提供可视化工具，进行加密数据运维管理。 </w:t>
            </w:r>
          </w:p>
          <w:p w14:paraId="065288C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14、支持web管理平台按时间维度统计密钥数量、新增趋势、使用量、使用排行，展示CPU、内存、磁盘、网络等的使用情况。</w:t>
            </w:r>
          </w:p>
          <w:p w14:paraId="5CADA98C">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rPr>
              <w:t>15、支持TDE透明加密，加密粒度为表空间级别。</w:t>
            </w:r>
          </w:p>
          <w:p w14:paraId="1682FE0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16、支持对oracle、sqlserver、达梦等数据库进行TDE、TFE透明加密。</w:t>
            </w:r>
          </w:p>
          <w:p w14:paraId="7E4130B9">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17、单台设备可同时提供统一密钥管理、通用数据加解密、切面加密、切面HMAC、切面脱敏、切面凭据管理、TDE加密、TFE加密、PPDE加密、UDF加密、敏感数据识别功能。</w:t>
            </w:r>
          </w:p>
          <w:p w14:paraId="1F1074E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18、具备国家密码管理局商用密码检测中心颁发的《商用密码产品认证证书》并满足 GM/T 0028《密码模块安全技术要求》安全等级第二级相关要求。</w:t>
            </w:r>
          </w:p>
        </w:tc>
        <w:tc>
          <w:tcPr>
            <w:tcW w:w="467" w:type="dxa"/>
          </w:tcPr>
          <w:p w14:paraId="5BFF8145">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368469CD">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台</w:t>
            </w:r>
          </w:p>
        </w:tc>
      </w:tr>
      <w:tr w14:paraId="019E0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33A6A9A6">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4</w:t>
            </w:r>
          </w:p>
        </w:tc>
        <w:tc>
          <w:tcPr>
            <w:tcW w:w="720" w:type="dxa"/>
          </w:tcPr>
          <w:p w14:paraId="09F42F0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SSL VPN</w:t>
            </w:r>
          </w:p>
        </w:tc>
        <w:tc>
          <w:tcPr>
            <w:tcW w:w="9638" w:type="dxa"/>
          </w:tcPr>
          <w:p w14:paraId="1321794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一、硬件参数：</w:t>
            </w:r>
          </w:p>
          <w:p w14:paraId="05B4DB2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标准1U设备，硬盘≥128G ，内存≥8G，千兆电口≥4</w:t>
            </w:r>
          </w:p>
          <w:p w14:paraId="0276A5E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二、性能参数：</w:t>
            </w:r>
          </w:p>
          <w:p w14:paraId="30B974C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最大并发用户数≥3000</w:t>
            </w:r>
          </w:p>
          <w:p w14:paraId="47945E8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最大加密吞吐率（国密）≥900Mbps</w:t>
            </w:r>
          </w:p>
          <w:p w14:paraId="60829B5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最大加密吞吐率（国际）≥3Gbps</w:t>
            </w:r>
          </w:p>
          <w:p w14:paraId="1B57996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三、功能参数</w:t>
            </w:r>
          </w:p>
          <w:p w14:paraId="75918ACB">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1.支持证书认证，并支持指定证书字段和认证用户名进行唯一绑定。</w:t>
            </w:r>
          </w:p>
          <w:p w14:paraId="69443521">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2.支持用户名口令、证书认证、扫码登录、短信验证码、复杂验证码、邮箱等认证方式，支持LocalDB、LDAP、RADIUS、NTLM、HTTP/HTTPS认证。</w:t>
            </w:r>
          </w:p>
          <w:p w14:paraId="1CFF565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3.支持硬件绑定认证，用户可唯一绑定终端的CPU、操作系统、硬盘等硬件信息，满足绑定关系的账号才可登录；支持自动绑定和手动绑定；并支持针对domain和sid的正则表达式过滤，满足条件方可登录。</w:t>
            </w:r>
          </w:p>
          <w:p w14:paraId="2399192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4.支持IP、端口、协议、URL级别的访问控制，支持配置允许和拒绝策略，对于不同用户，不同角色实现不同的控制。</w:t>
            </w:r>
          </w:p>
          <w:p w14:paraId="143630D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5.支持内网3层/4层/7层的内外网应用发布。</w:t>
            </w:r>
          </w:p>
          <w:p w14:paraId="1C6CC8A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6.支持单点登录，支持为文件共享、Web资源、远程桌面资源开启单点登录。</w:t>
            </w:r>
          </w:p>
          <w:p w14:paraId="279FC1D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7.可以扩展支持最多256个虚拟站点，可配置独立管理员、独立访问门户、认证方式、访问控制列表、用户源等，多站点安全策略互不干扰。（提供设备界面功能截图）</w:t>
            </w:r>
          </w:p>
          <w:p w14:paraId="094B286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8.可根据系统健康检查、硬件类、软件类、网络环境类等健康状态与使用率等自定义HA失效切换规则。</w:t>
            </w:r>
          </w:p>
          <w:p w14:paraId="24297A2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9. 支持独占型虚拟网关，每个虚拟网关独占IP地址和域名，用户可以通过域名或者IP地址访虚拟网关。</w:t>
            </w:r>
          </w:p>
          <w:p w14:paraId="30D2AE38">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10.支持在线用户状态查看，支持在线用户的强制下线，支持对同一个账号登录会话个数限制，且能自定义策略，对超出限制的会话请求可拒绝或者踢出旧的会话让新的会话登录。</w:t>
            </w:r>
          </w:p>
          <w:p w14:paraId="02907511">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11.支持系统备份、系统升级功能，支持双分区、四分区一键版本升级与切换功能，管理员可一键切换至任意版本，无需重新配置。</w:t>
            </w:r>
          </w:p>
          <w:p w14:paraId="112E8D2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12.具备国家密码管理局商用密码检测中心颁发的《商用密码产品认证证书》并满足 GM/T 0028《密码模块安全技术要求》安全等级第二级相关要求。</w:t>
            </w:r>
          </w:p>
        </w:tc>
        <w:tc>
          <w:tcPr>
            <w:tcW w:w="467" w:type="dxa"/>
          </w:tcPr>
          <w:p w14:paraId="220D7689">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7277524C">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台</w:t>
            </w:r>
          </w:p>
        </w:tc>
      </w:tr>
      <w:tr w14:paraId="6B5B4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BFD7FF2">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5</w:t>
            </w:r>
          </w:p>
        </w:tc>
        <w:tc>
          <w:tcPr>
            <w:tcW w:w="720" w:type="dxa"/>
          </w:tcPr>
          <w:p w14:paraId="087696A8">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动态令牌系统</w:t>
            </w:r>
          </w:p>
        </w:tc>
        <w:tc>
          <w:tcPr>
            <w:tcW w:w="9638" w:type="dxa"/>
          </w:tcPr>
          <w:p w14:paraId="39DC86D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1、标准1U设备，双电源，1T硬盘，8G内存，4个千兆电口；</w:t>
            </w:r>
          </w:p>
          <w:p w14:paraId="670CF91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2、最大支持5000用户，响应性能500TPS；</w:t>
            </w:r>
          </w:p>
          <w:p w14:paraId="2FD7512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3、服务端由生成服务器、验证服务器和管理服务器三部分组成，三个模块独立运行，独立管理，支持单独模块的负载均衡（需提供界面截图），包含客户端软件。</w:t>
            </w:r>
          </w:p>
          <w:p w14:paraId="3B78F82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4、支持RSA2048\SM2算法，支持SHA-1\SHA-256\SHA-512\SM3算法，支持SM4算法</w:t>
            </w:r>
          </w:p>
          <w:p w14:paraId="30FC6B3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5、PAP1、PAP2、CHAP、MSCHAP、MSCHAP2（需提供截图）；</w:t>
            </w:r>
          </w:p>
          <w:p w14:paraId="3757A79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6、提供管理和验证的JAVA、C和C#的API接口；同时支持Radius等标准认证协议；</w:t>
            </w:r>
          </w:p>
          <w:p w14:paraId="3669DDD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7、软件令牌（IOS、安卓、H5），单键令牌，多键令牌，手机短信，二维码令牌等多种方式；</w:t>
            </w:r>
          </w:p>
          <w:p w14:paraId="3083B6A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8、创建、冻结、解冻和作废令牌等，手工同步令牌密码、获取令牌解锁码等操作，还可以设定不同的预约作废条件，实现批量、预约作废，能够有效、及时的进行补救，对整个系统不会产生任何损害；</w:t>
            </w:r>
          </w:p>
          <w:p w14:paraId="2FF3033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9、支持批量用户生成，生成数量用户可自己定义；系统管理员通过Web管理界面灵活定制生成策略，针对动态口令卡，特别有码元个数、密码取值范围、行标题、列标题、使用次数、有效期等等，其他各种终端类型可以设置同步窗、密码有效期等策略；</w:t>
            </w:r>
          </w:p>
          <w:p w14:paraId="743FC89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10、动态密码系统为防止字典攻击，向用户提供了动态密码锁定和解除锁定机制，支持用户自定义验证策略。可以根据自身需要，对每一种动态密码类型的验证失败次数和解除锁定策略进行定制，系统管理员可以严格的限制动态密码验证失败次数的最大值，当用户输入错误动态密码的次数大于该最大值时，系统将自动锁定对应的动态密码终端，直到符合解除锁定条件，该动态密码终端才可以恢复正常使用；</w:t>
            </w:r>
          </w:p>
          <w:p w14:paraId="56CE0F0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11、支持记录管理日志、访问日志、系统日志、错误日志以及调试日志，根据用户需要自定义报表输出。（需提供截图）</w:t>
            </w:r>
          </w:p>
          <w:p w14:paraId="3D866BE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12、能够对口令验证、验证服务器连接数、验证服务器活动连接数、数据库连接池大小、数据库连接剩余大小等指标进行监控统计（需提供截图）；</w:t>
            </w:r>
          </w:p>
          <w:p w14:paraId="711B2D3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13、产品通过国家密码局测评和认证，具备《商用密码产品认证证书》；</w:t>
            </w:r>
          </w:p>
        </w:tc>
        <w:tc>
          <w:tcPr>
            <w:tcW w:w="467" w:type="dxa"/>
          </w:tcPr>
          <w:p w14:paraId="59558D22">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4441C3EF">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台</w:t>
            </w:r>
          </w:p>
        </w:tc>
      </w:tr>
      <w:tr w14:paraId="7E669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5CD4D28D">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6</w:t>
            </w:r>
          </w:p>
        </w:tc>
        <w:tc>
          <w:tcPr>
            <w:tcW w:w="720" w:type="dxa"/>
          </w:tcPr>
          <w:p w14:paraId="477624F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服务器密码机（全民健康平台）</w:t>
            </w:r>
          </w:p>
        </w:tc>
        <w:tc>
          <w:tcPr>
            <w:tcW w:w="9638" w:type="dxa"/>
          </w:tcPr>
          <w:p w14:paraId="08C2AAA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硬件参数：</w:t>
            </w:r>
          </w:p>
          <w:p w14:paraId="4D9884D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1、标准1U设备，双电源，国产化设备，硬盘≥1T，内存≥16G，千兆电口≥4个</w:t>
            </w:r>
          </w:p>
          <w:p w14:paraId="5DBE402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2、签名：RSA2048≥5.5KTPS，SM2≥30KTPS；验签：RSA2048≥38KTPS，SM2≥20KTPS</w:t>
            </w:r>
          </w:p>
          <w:p w14:paraId="56B4633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性能参数：</w:t>
            </w:r>
          </w:p>
          <w:p w14:paraId="7BB63B3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1、支持Attached 、Detached、RAW签名验签、事后验签</w:t>
            </w:r>
          </w:p>
          <w:p w14:paraId="703319B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2、XML封皮、封内、分离签名验签；支持支付宝XML签名验签；支持财付通XML签名验签（提供证明材料）</w:t>
            </w:r>
          </w:p>
          <w:p w14:paraId="381F18F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3、支持对称加解密功能；支持制作、解密数字信封；支持制作、解密带签名数字信封；支持非对称加解密功能</w:t>
            </w:r>
          </w:p>
          <w:p w14:paraId="45933F4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4、支持对非对称算法、摘要算法、对称算法进行弱算法过滤的设置（提供证明材料）</w:t>
            </w:r>
          </w:p>
          <w:p w14:paraId="1342A36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5、支持CRL、OCSP方式检查证书作废列表</w:t>
            </w:r>
          </w:p>
          <w:p w14:paraId="5A76E51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6、支持产生对称、非对称密钥；可通过导入分段的方式生成对称密钥</w:t>
            </w:r>
          </w:p>
          <w:p w14:paraId="61CADCB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7、支持KEK和默认两种方式的密钥加密导入导出功能以实现多机部署</w:t>
            </w:r>
          </w:p>
          <w:p w14:paraId="178A9BB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8、支持对称密钥、非对称密钥、证书进行分组管理</w:t>
            </w:r>
          </w:p>
          <w:p w14:paraId="72716C1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9、支持通过webui上传升级包进行版本升级</w:t>
            </w:r>
          </w:p>
          <w:p w14:paraId="5AF1400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10、支持对指标项监控进行风险预警；支持对系统资源、加密卡、服务进程、证书密钥、日志信息等进行监控预警</w:t>
            </w:r>
          </w:p>
          <w:p w14:paraId="5A8AE3C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11、支持多台设备（包括生产系统和灾备系统）之间机构证书同步、对称密钥同步、非对称密钥同步</w:t>
            </w:r>
          </w:p>
          <w:p w14:paraId="6944A66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12、支持双因素认证登录功能；管理员证书可采用外部证书和自签证书两种方式</w:t>
            </w:r>
          </w:p>
          <w:p w14:paraId="05F9CF0B">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13、可批量执行巡检指令实现一键巡检并生成巡检报告；包括日常巡检、应急巡检和深度巡检。</w:t>
            </w:r>
          </w:p>
          <w:p w14:paraId="3467263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14、具备国家密码管理局商用密码检测中心颁发的《商用密码产品认证证书》并满足 GM/T 0028《密码模块安全技术要求》安全等级第二级相关要求。</w:t>
            </w:r>
          </w:p>
        </w:tc>
        <w:tc>
          <w:tcPr>
            <w:tcW w:w="467" w:type="dxa"/>
          </w:tcPr>
          <w:p w14:paraId="0C0B2466">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77843AE2">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台</w:t>
            </w:r>
          </w:p>
        </w:tc>
      </w:tr>
      <w:tr w14:paraId="75E00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EDC9C91">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7</w:t>
            </w:r>
          </w:p>
        </w:tc>
        <w:tc>
          <w:tcPr>
            <w:tcW w:w="720" w:type="dxa"/>
          </w:tcPr>
          <w:p w14:paraId="633ADAE8">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个人数字证书</w:t>
            </w:r>
          </w:p>
        </w:tc>
        <w:tc>
          <w:tcPr>
            <w:tcW w:w="9638" w:type="dxa"/>
          </w:tcPr>
          <w:p w14:paraId="245E5AD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1、依托《电子签名法》标识个人信息系统用户网络身份。</w:t>
            </w:r>
          </w:p>
          <w:p w14:paraId="5E9EDF99">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2、证书格式标准遵循ITU X.509 Version3标准。</w:t>
            </w:r>
          </w:p>
          <w:p w14:paraId="676E03A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3、数字证书应支持SM2等国产密码算法，数字签名算法支持SM2、SM3，证书及私钥的存储格式采用国际标准的DER、PEM和PKCS#7、PKCS#12格式，证书请求支持PKCS#10格式。</w:t>
            </w:r>
          </w:p>
          <w:p w14:paraId="78F5972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4、具有国家密码管理局颁发的《电子认证服务使用密码许可证》和具有国家密码管理局颁发的《电子政务电子认证服务机构》等相关资质。</w:t>
            </w:r>
          </w:p>
        </w:tc>
        <w:tc>
          <w:tcPr>
            <w:tcW w:w="467" w:type="dxa"/>
          </w:tcPr>
          <w:p w14:paraId="75E20917">
            <w:pPr>
              <w:bidi w:val="0"/>
              <w:rPr>
                <w:rFonts w:hint="default"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10</w:t>
            </w:r>
          </w:p>
        </w:tc>
        <w:tc>
          <w:tcPr>
            <w:tcW w:w="425" w:type="dxa"/>
          </w:tcPr>
          <w:p w14:paraId="4AD311ED">
            <w:pPr>
              <w:bidi w:val="0"/>
              <w:rPr>
                <w:rFonts w:hint="eastAsia" w:ascii="仿宋_GB2312" w:hAnsi="仿宋_GB2312" w:eastAsia="仿宋_GB2312" w:cs="仿宋_GB2312"/>
                <w:sz w:val="18"/>
                <w:szCs w:val="18"/>
                <w:vertAlign w:val="baseline"/>
              </w:rPr>
            </w:pPr>
          </w:p>
        </w:tc>
      </w:tr>
      <w:tr w14:paraId="24C74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85F438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8</w:t>
            </w:r>
          </w:p>
        </w:tc>
        <w:tc>
          <w:tcPr>
            <w:tcW w:w="720" w:type="dxa"/>
          </w:tcPr>
          <w:p w14:paraId="49DFC44B">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智能密码钥匙</w:t>
            </w:r>
          </w:p>
        </w:tc>
        <w:tc>
          <w:tcPr>
            <w:tcW w:w="9638" w:type="dxa"/>
          </w:tcPr>
          <w:p w14:paraId="53C73DE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1、内嵌32位高性能、高容量智能卡芯片；</w:t>
            </w:r>
          </w:p>
          <w:p w14:paraId="3B51C5EE">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2、自主知识产权COS、用户存储空间不少于128KB；</w:t>
            </w:r>
          </w:p>
          <w:p w14:paraId="2AB98EC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3、支持2个以上国密应用，同时支持8个以上证书；</w:t>
            </w:r>
          </w:p>
          <w:p w14:paraId="752513FA">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4、验证及运算过程在硬件内部完成，私钥永不出Key，具有多种对抗攻击的安全检测和保护手段；</w:t>
            </w:r>
          </w:p>
          <w:p w14:paraId="276F224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5、符合USB2.0规范，兼容USB1.1，兼容3.0规范接口；</w:t>
            </w:r>
          </w:p>
          <w:p w14:paraId="2FC6BA8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6、性能参数：</w:t>
            </w:r>
          </w:p>
          <w:p w14:paraId="57081F1C">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a）SM1加解密 ≥1.4Mbps；</w:t>
            </w:r>
          </w:p>
          <w:p w14:paraId="0AB2CBEB">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b）SM4加解密 ≥1.7Mbps；</w:t>
            </w:r>
          </w:p>
          <w:p w14:paraId="246FA8DF">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c）SM2密钥对生成 ≥4次/秒；</w:t>
            </w:r>
          </w:p>
          <w:p w14:paraId="373057E8">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d）SM2解密 ≥90次/秒；</w:t>
            </w:r>
          </w:p>
          <w:p w14:paraId="199F1DB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e）SM2签名 ≥120次/秒；</w:t>
            </w:r>
          </w:p>
          <w:p w14:paraId="699742A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f）SM2验签 ≥90次/秒；</w:t>
            </w:r>
          </w:p>
          <w:p w14:paraId="1EA6F73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h）RSA密钥对生成（1024）≤0.7秒/次；</w:t>
            </w:r>
          </w:p>
          <w:p w14:paraId="74932EB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i）RSA签名（1024）≥95次/秒；</w:t>
            </w:r>
          </w:p>
          <w:p w14:paraId="34C9AA9D">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j）RSA密钥对生成（2048）≤3秒/次；</w:t>
            </w:r>
          </w:p>
          <w:p w14:paraId="63EA252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k）RSA签名（2048）≥29次/秒。</w:t>
            </w:r>
          </w:p>
        </w:tc>
        <w:tc>
          <w:tcPr>
            <w:tcW w:w="467" w:type="dxa"/>
          </w:tcPr>
          <w:p w14:paraId="24019091">
            <w:pPr>
              <w:bidi w:val="0"/>
              <w:rPr>
                <w:rFonts w:hint="default"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10</w:t>
            </w:r>
          </w:p>
        </w:tc>
        <w:tc>
          <w:tcPr>
            <w:tcW w:w="425" w:type="dxa"/>
          </w:tcPr>
          <w:p w14:paraId="74C321B7">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个</w:t>
            </w:r>
          </w:p>
        </w:tc>
      </w:tr>
      <w:tr w14:paraId="2013E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77031F4">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9</w:t>
            </w:r>
          </w:p>
        </w:tc>
        <w:tc>
          <w:tcPr>
            <w:tcW w:w="720" w:type="dxa"/>
          </w:tcPr>
          <w:p w14:paraId="233C7CA3">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站点证书</w:t>
            </w:r>
          </w:p>
        </w:tc>
        <w:tc>
          <w:tcPr>
            <w:tcW w:w="9638" w:type="dxa"/>
          </w:tcPr>
          <w:p w14:paraId="3C480529">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1.遵循国家标准技术规范，采用国密签名算法，保证数字证书无法篡改和无法伪造；</w:t>
            </w:r>
          </w:p>
          <w:p w14:paraId="3C7956D4">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2.为服务器或客户端的身份信息提供身份证明；</w:t>
            </w:r>
          </w:p>
          <w:p w14:paraId="21C33326">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3.由合规的CA机构颁发，CA机构具有国家工信部颁发的《电子认证服务许可证》；</w:t>
            </w:r>
          </w:p>
        </w:tc>
        <w:tc>
          <w:tcPr>
            <w:tcW w:w="467" w:type="dxa"/>
          </w:tcPr>
          <w:p w14:paraId="4D312B02">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492CB6E8">
            <w:pPr>
              <w:bidi w:val="0"/>
              <w:rPr>
                <w:rFonts w:hint="default"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张/年</w:t>
            </w:r>
          </w:p>
        </w:tc>
      </w:tr>
      <w:tr w14:paraId="349DC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71894B4">
            <w:pPr>
              <w:bidi w:val="0"/>
              <w:rPr>
                <w:rFonts w:hint="default"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10</w:t>
            </w:r>
          </w:p>
        </w:tc>
        <w:tc>
          <w:tcPr>
            <w:tcW w:w="720" w:type="dxa"/>
          </w:tcPr>
          <w:p w14:paraId="65060202">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系统集成服务</w:t>
            </w:r>
          </w:p>
        </w:tc>
        <w:tc>
          <w:tcPr>
            <w:tcW w:w="9638" w:type="dxa"/>
          </w:tcPr>
          <w:p w14:paraId="523A1E91">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商用密码应用改造安全协助服务从满足商用密码应用测评要求为主，协助用户方提供涉及测评问题的安全咨询与整改加固工作，对测评出的安全问题提供指导。包括测评信息系统物理和环境安全层面、网络和通信安全层面、设备和计算安全层面、应用和数据安全层面、安全管理制度层面等整改加固工作</w:t>
            </w:r>
          </w:p>
        </w:tc>
        <w:tc>
          <w:tcPr>
            <w:tcW w:w="467" w:type="dxa"/>
          </w:tcPr>
          <w:p w14:paraId="1A65854F">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4B4C9DF1">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项</w:t>
            </w:r>
          </w:p>
        </w:tc>
      </w:tr>
      <w:tr w14:paraId="491E2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 w:type="dxa"/>
          </w:tcPr>
          <w:p w14:paraId="237CF0F8">
            <w:pPr>
              <w:bidi w:val="0"/>
              <w:rPr>
                <w:rFonts w:hint="default"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11</w:t>
            </w:r>
          </w:p>
        </w:tc>
        <w:tc>
          <w:tcPr>
            <w:tcW w:w="720" w:type="dxa"/>
          </w:tcPr>
          <w:p w14:paraId="27433BF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商用密码测评费用</w:t>
            </w:r>
          </w:p>
        </w:tc>
        <w:tc>
          <w:tcPr>
            <w:tcW w:w="9638" w:type="dxa"/>
          </w:tcPr>
          <w:p w14:paraId="3C855DB7">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要求：</w:t>
            </w:r>
          </w:p>
          <w:p w14:paraId="1C670505">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1、系统整改完成后，需按照《信息安全技术信息系统密码应用基本要求》、《信息系统密码测评要求》等标准，及《商用密码应用安全性评估测评过程指南（试行）》《商用密码应用安全性评估测评作业指导书（试行）》等指导性文件规范进行系统评估。</w:t>
            </w:r>
          </w:p>
          <w:p w14:paraId="536A7B70">
            <w:pPr>
              <w:bidi w:val="0"/>
              <w:rPr>
                <w:rFonts w:hint="eastAsia" w:ascii="仿宋_GB2312" w:hAnsi="仿宋_GB2312" w:eastAsia="仿宋_GB2312" w:cs="仿宋_GB2312"/>
                <w:sz w:val="18"/>
                <w:szCs w:val="18"/>
                <w:vertAlign w:val="baseline"/>
              </w:rPr>
            </w:pPr>
            <w:r>
              <w:rPr>
                <w:rFonts w:hint="eastAsia" w:ascii="仿宋_GB2312" w:hAnsi="仿宋_GB2312" w:eastAsia="仿宋_GB2312" w:cs="仿宋_GB2312"/>
                <w:sz w:val="18"/>
                <w:szCs w:val="18"/>
                <w:vertAlign w:val="baseline"/>
              </w:rPr>
              <w:t>2、测评机构拟投入项目负责人为人为高级测评师并具有高级职称，通过了CISAW专业级认证，取得了注册网络安全渗透评估专业人员（NSATP-A)证书，并具有国家涉密信息系统安全测评资格证。</w:t>
            </w:r>
          </w:p>
        </w:tc>
        <w:tc>
          <w:tcPr>
            <w:tcW w:w="467" w:type="dxa"/>
          </w:tcPr>
          <w:p w14:paraId="0B5C729B">
            <w:pPr>
              <w:bidi w:val="0"/>
              <w:rPr>
                <w:rFonts w:hint="eastAsia" w:ascii="仿宋_GB2312" w:hAnsi="仿宋_GB2312" w:eastAsia="仿宋_GB2312" w:cs="仿宋_GB2312"/>
                <w:sz w:val="18"/>
                <w:szCs w:val="18"/>
                <w:vertAlign w:val="baseline"/>
                <w:lang w:val="en-US" w:eastAsia="zh-CN"/>
              </w:rPr>
            </w:pPr>
            <w:r>
              <w:rPr>
                <w:rFonts w:hint="eastAsia" w:ascii="仿宋_GB2312" w:hAnsi="仿宋_GB2312" w:eastAsia="仿宋_GB2312" w:cs="仿宋_GB2312"/>
                <w:sz w:val="18"/>
                <w:szCs w:val="18"/>
                <w:vertAlign w:val="baseline"/>
                <w:lang w:val="en-US" w:eastAsia="zh-CN"/>
              </w:rPr>
              <w:t>1</w:t>
            </w:r>
          </w:p>
        </w:tc>
        <w:tc>
          <w:tcPr>
            <w:tcW w:w="425" w:type="dxa"/>
          </w:tcPr>
          <w:p w14:paraId="132F3A1A">
            <w:pPr>
              <w:bidi w:val="0"/>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项</w:t>
            </w:r>
          </w:p>
        </w:tc>
      </w:tr>
    </w:tbl>
    <w:p w14:paraId="77CC8076">
      <w:pPr>
        <w:bidi w:val="0"/>
        <w:rPr>
          <w:rFonts w:hint="eastAsia"/>
        </w:rPr>
      </w:pPr>
    </w:p>
    <w:p w14:paraId="393DD1E8">
      <w:pPr>
        <w:bidi w:val="0"/>
        <w:rPr>
          <w:rFonts w:hint="eastAsia"/>
        </w:rPr>
      </w:pPr>
    </w:p>
    <w:p w14:paraId="73CDB819">
      <w:pPr>
        <w:bidi w:val="0"/>
        <w:rPr>
          <w:rFonts w:hint="eastAsia"/>
        </w:rPr>
      </w:pPr>
    </w:p>
    <w:p w14:paraId="29A6B23F">
      <w:pPr>
        <w:bidi w:val="0"/>
        <w:rPr>
          <w:rFonts w:hint="eastAsia"/>
        </w:rPr>
      </w:pPr>
    </w:p>
    <w:p w14:paraId="36031994">
      <w:pPr>
        <w:bidi w:val="0"/>
        <w:rPr>
          <w:rFonts w:hint="eastAsia"/>
        </w:rPr>
      </w:pPr>
    </w:p>
    <w:p w14:paraId="2341AC1A">
      <w:pPr>
        <w:bidi w:val="0"/>
        <w:rPr>
          <w:rFonts w:hint="eastAsia"/>
        </w:rPr>
      </w:pPr>
    </w:p>
    <w:p w14:paraId="46A03573">
      <w:pPr>
        <w:bidi w:val="0"/>
        <w:rPr>
          <w:rFonts w:hint="eastAsia"/>
        </w:rPr>
      </w:pPr>
    </w:p>
    <w:p w14:paraId="510DF90E">
      <w:pPr>
        <w:bidi w:val="0"/>
        <w:rPr>
          <w:rFonts w:hint="eastAsia"/>
        </w:rPr>
      </w:pPr>
    </w:p>
    <w:p w14:paraId="6C94CA00">
      <w:pPr>
        <w:bidi w:val="0"/>
        <w:rPr>
          <w:rFonts w:hint="eastAsia"/>
        </w:rPr>
      </w:pPr>
    </w:p>
    <w:p w14:paraId="0588403C">
      <w:pPr>
        <w:bidi w:val="0"/>
        <w:rPr>
          <w:rFonts w:hint="eastAsia"/>
        </w:rPr>
      </w:pPr>
      <w:r>
        <w:rPr>
          <w:rFonts w:hint="eastAsia"/>
        </w:rPr>
        <w:t>二、调查方式</w:t>
      </w:r>
    </w:p>
    <w:p w14:paraId="6228C69A">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问卷调查</w:t>
      </w:r>
    </w:p>
    <w:p w14:paraId="508EB96B">
      <w:pPr>
        <w:bidi w:val="0"/>
        <w:rPr>
          <w:rFonts w:hint="eastAsia"/>
          <w:szCs w:val="21"/>
        </w:rPr>
      </w:pPr>
      <w:r>
        <w:rPr>
          <w:rFonts w:hint="eastAsia"/>
        </w:rPr>
        <w:t>三、调查要求</w:t>
      </w:r>
    </w:p>
    <w:p w14:paraId="1F354009">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1.资料要求</w:t>
      </w:r>
    </w:p>
    <w:p w14:paraId="6FC157D2">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有意向参加调查的供应商请于202</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5</w:t>
      </w:r>
      <w:r>
        <w:rPr>
          <w:rFonts w:hint="eastAsia" w:ascii="仿宋_GB2312" w:hAnsi="仿宋_GB2312" w:eastAsia="仿宋_GB2312" w:cs="仿宋_GB2312"/>
          <w:color w:val="000000" w:themeColor="text1"/>
          <w:sz w:val="21"/>
          <w:szCs w:val="21"/>
          <w14:textFill>
            <w14:solidFill>
              <w14:schemeClr w14:val="tx1"/>
            </w14:solidFill>
          </w14:textFill>
        </w:rPr>
        <w:t>年</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10</w:t>
      </w:r>
      <w:r>
        <w:rPr>
          <w:rFonts w:hint="eastAsia" w:ascii="仿宋_GB2312" w:hAnsi="仿宋_GB2312" w:eastAsia="仿宋_GB2312" w:cs="仿宋_GB2312"/>
          <w:color w:val="000000" w:themeColor="text1"/>
          <w:sz w:val="21"/>
          <w:szCs w:val="21"/>
          <w14:textFill>
            <w14:solidFill>
              <w14:schemeClr w14:val="tx1"/>
            </w14:solidFill>
          </w14:textFill>
        </w:rPr>
        <w:t>月</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15</w:t>
      </w:r>
      <w:r>
        <w:rPr>
          <w:rFonts w:hint="eastAsia" w:ascii="仿宋_GB2312" w:hAnsi="仿宋_GB2312" w:eastAsia="仿宋_GB2312" w:cs="仿宋_GB2312"/>
          <w:color w:val="000000" w:themeColor="text1"/>
          <w:sz w:val="21"/>
          <w:szCs w:val="21"/>
          <w14:textFill>
            <w14:solidFill>
              <w14:schemeClr w14:val="tx1"/>
            </w14:solidFill>
          </w14:textFill>
        </w:rPr>
        <w:t>日起至20</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25</w:t>
      </w:r>
      <w:r>
        <w:rPr>
          <w:rFonts w:hint="eastAsia" w:ascii="仿宋_GB2312" w:hAnsi="仿宋_GB2312" w:eastAsia="仿宋_GB2312" w:cs="仿宋_GB2312"/>
          <w:color w:val="000000" w:themeColor="text1"/>
          <w:sz w:val="21"/>
          <w:szCs w:val="21"/>
          <w14:textFill>
            <w14:solidFill>
              <w14:schemeClr w14:val="tx1"/>
            </w14:solidFill>
          </w14:textFill>
        </w:rPr>
        <w:t>年</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10</w:t>
      </w:r>
      <w:r>
        <w:rPr>
          <w:rFonts w:hint="eastAsia" w:ascii="仿宋_GB2312" w:hAnsi="仿宋_GB2312" w:eastAsia="仿宋_GB2312" w:cs="仿宋_GB2312"/>
          <w:color w:val="000000" w:themeColor="text1"/>
          <w:sz w:val="21"/>
          <w:szCs w:val="21"/>
          <w14:textFill>
            <w14:solidFill>
              <w14:schemeClr w14:val="tx1"/>
            </w14:solidFill>
          </w14:textFill>
        </w:rPr>
        <w:t>月</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17</w:t>
      </w:r>
      <w:r>
        <w:rPr>
          <w:rFonts w:hint="eastAsia" w:ascii="仿宋_GB2312" w:hAnsi="仿宋_GB2312" w:eastAsia="仿宋_GB2312" w:cs="仿宋_GB2312"/>
          <w:color w:val="000000" w:themeColor="text1"/>
          <w:sz w:val="21"/>
          <w:szCs w:val="21"/>
          <w14:textFill>
            <w14:solidFill>
              <w14:schemeClr w14:val="tx1"/>
            </w14:solidFill>
          </w14:textFill>
        </w:rPr>
        <w:t>日按市场调</w:t>
      </w:r>
      <w:r>
        <w:rPr>
          <w:rFonts w:hint="eastAsia" w:ascii="仿宋_GB2312" w:hAnsi="仿宋_GB2312" w:eastAsia="仿宋_GB2312" w:cs="仿宋_GB2312"/>
          <w:color w:val="000000" w:themeColor="text1"/>
          <w:sz w:val="21"/>
          <w:szCs w:val="21"/>
          <w:lang w:eastAsia="zh-CN"/>
          <w14:textFill>
            <w14:solidFill>
              <w14:schemeClr w14:val="tx1"/>
            </w14:solidFill>
          </w14:textFill>
        </w:rPr>
        <w:t>研</w:t>
      </w:r>
      <w:r>
        <w:rPr>
          <w:rFonts w:hint="eastAsia" w:ascii="仿宋_GB2312" w:hAnsi="仿宋_GB2312" w:eastAsia="仿宋_GB2312" w:cs="仿宋_GB2312"/>
          <w:color w:val="000000" w:themeColor="text1"/>
          <w:sz w:val="21"/>
          <w:szCs w:val="21"/>
          <w14:textFill>
            <w14:solidFill>
              <w14:schemeClr w14:val="tx1"/>
            </w14:solidFill>
          </w14:textFill>
        </w:rPr>
        <w:t>问卷的要求及格式完成市场</w:t>
      </w:r>
      <w:r>
        <w:rPr>
          <w:rFonts w:hint="eastAsia" w:ascii="仿宋_GB2312" w:hAnsi="仿宋_GB2312" w:eastAsia="仿宋_GB2312" w:cs="仿宋_GB2312"/>
          <w:color w:val="000000" w:themeColor="text1"/>
          <w:sz w:val="21"/>
          <w:szCs w:val="21"/>
          <w:lang w:eastAsia="zh-CN"/>
          <w14:textFill>
            <w14:solidFill>
              <w14:schemeClr w14:val="tx1"/>
            </w14:solidFill>
          </w14:textFill>
        </w:rPr>
        <w:t>研</w:t>
      </w:r>
      <w:r>
        <w:rPr>
          <w:rFonts w:hint="eastAsia" w:ascii="仿宋_GB2312" w:hAnsi="仿宋_GB2312" w:eastAsia="仿宋_GB2312" w:cs="仿宋_GB2312"/>
          <w:color w:val="000000" w:themeColor="text1"/>
          <w:sz w:val="21"/>
          <w:szCs w:val="21"/>
          <w14:textFill>
            <w14:solidFill>
              <w14:schemeClr w14:val="tx1"/>
            </w14:solidFill>
          </w14:textFill>
        </w:rPr>
        <w:t>查响应文件</w:t>
      </w:r>
      <w:r>
        <w:rPr>
          <w:rFonts w:hint="eastAsia" w:ascii="仿宋_GB2312" w:hAnsi="仿宋_GB2312" w:eastAsia="仿宋_GB2312" w:cs="仿宋_GB2312"/>
          <w:color w:val="000000" w:themeColor="text1"/>
          <w:sz w:val="21"/>
          <w:szCs w:val="21"/>
          <w:lang w:eastAsia="zh-CN"/>
          <w14:textFill>
            <w14:solidFill>
              <w14:schemeClr w14:val="tx1"/>
            </w14:solidFill>
          </w14:textFill>
        </w:rPr>
        <w:t>并</w:t>
      </w:r>
      <w:r>
        <w:rPr>
          <w:rFonts w:hint="eastAsia" w:ascii="仿宋_GB2312" w:hAnsi="仿宋_GB2312" w:eastAsia="仿宋_GB2312" w:cs="仿宋_GB2312"/>
          <w:color w:val="000000" w:themeColor="text1"/>
          <w:sz w:val="21"/>
          <w:szCs w:val="21"/>
          <w14:textFill>
            <w14:solidFill>
              <w14:schemeClr w14:val="tx1"/>
            </w14:solidFill>
          </w14:textFill>
        </w:rPr>
        <w:t>发送</w:t>
      </w:r>
      <w:r>
        <w:rPr>
          <w:rFonts w:hint="eastAsia" w:ascii="仿宋_GB2312" w:hAnsi="仿宋_GB2312" w:eastAsia="仿宋_GB2312" w:cs="仿宋_GB2312"/>
          <w:color w:val="000000" w:themeColor="text1"/>
          <w:sz w:val="21"/>
          <w:szCs w:val="21"/>
          <w:lang w:eastAsia="zh-CN"/>
          <w14:textFill>
            <w14:solidFill>
              <w14:schemeClr w14:val="tx1"/>
            </w14:solidFill>
          </w14:textFill>
        </w:rPr>
        <w:t>调研问卷</w:t>
      </w:r>
      <w:r>
        <w:rPr>
          <w:rFonts w:hint="eastAsia" w:ascii="仿宋_GB2312" w:hAnsi="仿宋_GB2312" w:eastAsia="仿宋_GB2312" w:cs="仿宋_GB2312"/>
          <w:color w:val="000000" w:themeColor="text1"/>
          <w:sz w:val="21"/>
          <w:szCs w:val="21"/>
          <w14:textFill>
            <w14:solidFill>
              <w14:schemeClr w14:val="tx1"/>
            </w14:solidFill>
          </w14:textFill>
        </w:rPr>
        <w:t>至邮箱：</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hzszyyxxk2024@163.com</w:t>
      </w:r>
      <w:r>
        <w:rPr>
          <w:rFonts w:hint="eastAsia" w:ascii="仿宋_GB2312" w:hAnsi="仿宋_GB2312" w:eastAsia="仿宋_GB2312" w:cs="仿宋_GB2312"/>
          <w:color w:val="000000" w:themeColor="text1"/>
          <w:sz w:val="21"/>
          <w:szCs w:val="21"/>
          <w14:textFill>
            <w14:solidFill>
              <w14:schemeClr w14:val="tx1"/>
            </w14:solidFill>
          </w14:textFill>
        </w:rPr>
        <w:t>（邮件格式主题：项目名称+公司名称+调查问卷）</w:t>
      </w:r>
      <w:r>
        <w:rPr>
          <w:rFonts w:hint="eastAsia" w:ascii="仿宋_GB2312" w:hAnsi="仿宋_GB2312" w:eastAsia="仿宋_GB2312" w:cs="仿宋_GB2312"/>
          <w:color w:val="000000" w:themeColor="text1"/>
          <w:sz w:val="21"/>
          <w:szCs w:val="21"/>
          <w:lang w:eastAsia="zh-CN"/>
          <w14:textFill>
            <w14:solidFill>
              <w14:schemeClr w14:val="tx1"/>
            </w14:solidFill>
          </w14:textFill>
        </w:rPr>
        <w:t>。</w:t>
      </w:r>
      <w:r>
        <w:rPr>
          <w:rFonts w:hint="eastAsia" w:ascii="仿宋_GB2312" w:hAnsi="仿宋_GB2312" w:eastAsia="仿宋_GB2312" w:cs="仿宋_GB2312"/>
          <w:color w:val="000000" w:themeColor="text1"/>
          <w:sz w:val="21"/>
          <w:szCs w:val="21"/>
          <w14:textFill>
            <w14:solidFill>
              <w14:schemeClr w14:val="tx1"/>
            </w14:solidFill>
          </w14:textFill>
        </w:rPr>
        <w:t>市场调</w:t>
      </w:r>
      <w:r>
        <w:rPr>
          <w:rFonts w:hint="eastAsia" w:ascii="仿宋_GB2312" w:hAnsi="仿宋_GB2312" w:eastAsia="仿宋_GB2312" w:cs="仿宋_GB2312"/>
          <w:color w:val="000000" w:themeColor="text1"/>
          <w:sz w:val="21"/>
          <w:szCs w:val="21"/>
          <w:lang w:eastAsia="zh-CN"/>
          <w14:textFill>
            <w14:solidFill>
              <w14:schemeClr w14:val="tx1"/>
            </w14:solidFill>
          </w14:textFill>
        </w:rPr>
        <w:t>研</w:t>
      </w:r>
      <w:r>
        <w:rPr>
          <w:rFonts w:hint="eastAsia" w:ascii="仿宋_GB2312" w:hAnsi="仿宋_GB2312" w:eastAsia="仿宋_GB2312" w:cs="仿宋_GB2312"/>
          <w:color w:val="000000" w:themeColor="text1"/>
          <w:sz w:val="21"/>
          <w:szCs w:val="21"/>
          <w14:textFill>
            <w14:solidFill>
              <w14:schemeClr w14:val="tx1"/>
            </w14:solidFill>
          </w14:textFill>
        </w:rPr>
        <w:t>响应文件需提供扫描文件（格式：pdf）一份以及可编辑的Word格式电子文件（格式：doc或docx）一份。电子文件命名方式：项目名称+公司名称</w:t>
      </w:r>
    </w:p>
    <w:p w14:paraId="60403203">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2.递交截止时间</w:t>
      </w:r>
    </w:p>
    <w:p w14:paraId="5CDD3C01">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20</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25</w:t>
      </w:r>
      <w:r>
        <w:rPr>
          <w:rFonts w:hint="eastAsia" w:ascii="仿宋_GB2312" w:hAnsi="仿宋_GB2312" w:eastAsia="仿宋_GB2312" w:cs="仿宋_GB2312"/>
          <w:color w:val="000000" w:themeColor="text1"/>
          <w:sz w:val="21"/>
          <w:szCs w:val="21"/>
          <w14:textFill>
            <w14:solidFill>
              <w14:schemeClr w14:val="tx1"/>
            </w14:solidFill>
          </w14:textFill>
        </w:rPr>
        <w:t>年</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10</w:t>
      </w:r>
      <w:r>
        <w:rPr>
          <w:rFonts w:hint="eastAsia" w:ascii="仿宋_GB2312" w:hAnsi="仿宋_GB2312" w:eastAsia="仿宋_GB2312" w:cs="仿宋_GB2312"/>
          <w:color w:val="000000" w:themeColor="text1"/>
          <w:sz w:val="21"/>
          <w:szCs w:val="21"/>
          <w14:textFill>
            <w14:solidFill>
              <w14:schemeClr w14:val="tx1"/>
            </w14:solidFill>
          </w14:textFill>
        </w:rPr>
        <w:t>月</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11</w:t>
      </w:r>
      <w:r>
        <w:rPr>
          <w:rFonts w:hint="eastAsia" w:ascii="仿宋_GB2312" w:hAnsi="仿宋_GB2312" w:eastAsia="仿宋_GB2312" w:cs="仿宋_GB2312"/>
          <w:color w:val="000000" w:themeColor="text1"/>
          <w:sz w:val="21"/>
          <w:szCs w:val="21"/>
          <w14:textFill>
            <w14:solidFill>
              <w14:schemeClr w14:val="tx1"/>
            </w14:solidFill>
          </w14:textFill>
        </w:rPr>
        <w:t>日18：00。</w:t>
      </w:r>
    </w:p>
    <w:p w14:paraId="085FFD3F">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3.递交方式</w:t>
      </w:r>
    </w:p>
    <w:p w14:paraId="3628B9AF">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将扫描件、电子文件以邮件附件形式在递交截至时间前发送至电子邮箱：</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hzszyyxxk2024@163.com</w:t>
      </w:r>
      <w:r>
        <w:rPr>
          <w:rFonts w:hint="eastAsia" w:ascii="仿宋_GB2312" w:hAnsi="仿宋_GB2312" w:eastAsia="仿宋_GB2312" w:cs="仿宋_GB2312"/>
          <w:color w:val="000000" w:themeColor="text1"/>
          <w:sz w:val="21"/>
          <w:szCs w:val="21"/>
          <w14:textFill>
            <w14:solidFill>
              <w14:schemeClr w14:val="tx1"/>
            </w14:solidFill>
          </w14:textFill>
        </w:rPr>
        <w:t>，邮件主题命名格式：项目名称+公司名称。</w:t>
      </w:r>
    </w:p>
    <w:p w14:paraId="0145C907">
      <w:pPr>
        <w:spacing w:line="400" w:lineRule="exact"/>
        <w:ind w:firstLine="420" w:firstLineChars="200"/>
        <w:rPr>
          <w:rFonts w:hint="eastAsia" w:ascii="仿宋_GB2312" w:hAnsi="仿宋_GB2312" w:eastAsia="仿宋_GB2312" w:cs="仿宋_GB2312"/>
          <w:color w:val="000000" w:themeColor="text1"/>
          <w:sz w:val="21"/>
          <w:szCs w:val="21"/>
          <w:lang w:val="en-US" w:eastAsia="zh-CN"/>
          <w14:textFill>
            <w14:solidFill>
              <w14:schemeClr w14:val="tx1"/>
            </w14:solidFill>
          </w14:textFill>
        </w:rPr>
      </w:pP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4</w:t>
      </w:r>
      <w:r>
        <w:rPr>
          <w:rFonts w:hint="eastAsia" w:ascii="仿宋_GB2312" w:hAnsi="仿宋_GB2312" w:eastAsia="仿宋_GB2312" w:cs="仿宋_GB2312"/>
          <w:color w:val="000000" w:themeColor="text1"/>
          <w:sz w:val="21"/>
          <w:szCs w:val="21"/>
          <w14:textFill>
            <w14:solidFill>
              <w14:schemeClr w14:val="tx1"/>
            </w14:solidFill>
          </w14:textFill>
        </w:rPr>
        <w:t>、联系人</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及电话</w:t>
      </w:r>
      <w:r>
        <w:rPr>
          <w:rFonts w:hint="eastAsia" w:ascii="仿宋_GB2312" w:hAnsi="仿宋_GB2312" w:eastAsia="仿宋_GB2312" w:cs="仿宋_GB2312"/>
          <w:color w:val="000000" w:themeColor="text1"/>
          <w:sz w:val="21"/>
          <w:szCs w:val="21"/>
          <w14:textFill>
            <w14:solidFill>
              <w14:schemeClr w14:val="tx1"/>
            </w14:solidFill>
          </w14:textFill>
        </w:rPr>
        <w:t>：</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 xml:space="preserve">龙工 </w:t>
      </w:r>
      <w:r>
        <w:rPr>
          <w:rFonts w:hint="eastAsia" w:ascii="仿宋_GB2312" w:hAnsi="仿宋_GB2312" w:eastAsia="仿宋_GB2312" w:cs="仿宋_GB2312"/>
          <w:color w:val="000000" w:themeColor="text1"/>
          <w:sz w:val="21"/>
          <w:szCs w:val="21"/>
          <w14:textFill>
            <w14:solidFill>
              <w14:schemeClr w14:val="tx1"/>
            </w14:solidFill>
          </w14:textFill>
        </w:rPr>
        <w:t>0774-5</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139128</w:t>
      </w:r>
    </w:p>
    <w:p w14:paraId="622D6898">
      <w:pPr>
        <w:spacing w:line="400" w:lineRule="exact"/>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p>
    <w:p w14:paraId="1992A718">
      <w:pPr>
        <w:spacing w:line="400" w:lineRule="exact"/>
        <w:jc w:val="righ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202</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5</w:t>
      </w:r>
      <w:r>
        <w:rPr>
          <w:rFonts w:hint="eastAsia" w:ascii="仿宋_GB2312" w:hAnsi="仿宋_GB2312" w:eastAsia="仿宋_GB2312" w:cs="仿宋_GB2312"/>
          <w:color w:val="000000" w:themeColor="text1"/>
          <w:sz w:val="21"/>
          <w:szCs w:val="21"/>
          <w14:textFill>
            <w14:solidFill>
              <w14:schemeClr w14:val="tx1"/>
            </w14:solidFill>
          </w14:textFill>
        </w:rPr>
        <w:t>年</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10</w:t>
      </w:r>
      <w:r>
        <w:rPr>
          <w:rFonts w:hint="eastAsia" w:ascii="仿宋_GB2312" w:hAnsi="仿宋_GB2312" w:eastAsia="仿宋_GB2312" w:cs="仿宋_GB2312"/>
          <w:color w:val="000000" w:themeColor="text1"/>
          <w:sz w:val="21"/>
          <w:szCs w:val="21"/>
          <w14:textFill>
            <w14:solidFill>
              <w14:schemeClr w14:val="tx1"/>
            </w14:solidFill>
          </w14:textFill>
        </w:rPr>
        <w:t>月</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15</w:t>
      </w:r>
      <w:r>
        <w:rPr>
          <w:rFonts w:hint="eastAsia" w:ascii="仿宋_GB2312" w:hAnsi="仿宋_GB2312" w:eastAsia="仿宋_GB2312" w:cs="仿宋_GB2312"/>
          <w:color w:val="000000" w:themeColor="text1"/>
          <w:sz w:val="21"/>
          <w:szCs w:val="21"/>
          <w14:textFill>
            <w14:solidFill>
              <w14:schemeClr w14:val="tx1"/>
            </w14:solidFill>
          </w14:textFill>
        </w:rPr>
        <w:t>日</w:t>
      </w:r>
    </w:p>
    <w:p w14:paraId="75764668">
      <w:pPr>
        <w:spacing w:line="400" w:lineRule="exact"/>
        <w:rPr>
          <w:rFonts w:hint="eastAsia" w:ascii="仿宋_GB2312" w:hAnsi="仿宋_GB2312" w:eastAsia="仿宋_GB2312" w:cs="仿宋_GB2312"/>
          <w:color w:val="000000" w:themeColor="text1"/>
          <w:sz w:val="21"/>
          <w:szCs w:val="21"/>
          <w14:textFill>
            <w14:solidFill>
              <w14:schemeClr w14:val="tx1"/>
            </w14:solidFill>
          </w14:textFill>
        </w:rPr>
      </w:pPr>
    </w:p>
    <w:p w14:paraId="0BE746EF">
      <w:pPr>
        <w:bidi w:val="0"/>
        <w:rPr>
          <w:rFonts w:hint="eastAsia"/>
          <w:lang w:val="en-US" w:eastAsia="zh-CN"/>
        </w:rPr>
      </w:pPr>
      <w:bookmarkStart w:id="1" w:name="_Toc8052"/>
    </w:p>
    <w:p w14:paraId="7C73D348">
      <w:pPr>
        <w:bidi w:val="0"/>
        <w:rPr>
          <w:rFonts w:hint="eastAsia"/>
          <w:lang w:val="en-US" w:eastAsia="zh-CN"/>
        </w:rPr>
      </w:pPr>
    </w:p>
    <w:p w14:paraId="53A3EB3A">
      <w:pPr>
        <w:bidi w:val="0"/>
        <w:rPr>
          <w:rFonts w:hint="eastAsia"/>
          <w:lang w:val="en-US" w:eastAsia="zh-CN"/>
        </w:rPr>
      </w:pPr>
    </w:p>
    <w:p w14:paraId="1AFC5E36">
      <w:pPr>
        <w:bidi w:val="0"/>
        <w:rPr>
          <w:rFonts w:hint="eastAsia"/>
          <w:lang w:val="en-US" w:eastAsia="zh-CN"/>
        </w:rPr>
      </w:pPr>
    </w:p>
    <w:p w14:paraId="5158489E">
      <w:pPr>
        <w:bidi w:val="0"/>
        <w:rPr>
          <w:rFonts w:hint="eastAsia"/>
          <w:lang w:val="en-US" w:eastAsia="zh-CN"/>
        </w:rPr>
      </w:pPr>
    </w:p>
    <w:p w14:paraId="4EB10710">
      <w:pPr>
        <w:bidi w:val="0"/>
        <w:rPr>
          <w:rFonts w:hint="eastAsia"/>
          <w:lang w:val="en-US" w:eastAsia="zh-CN"/>
        </w:rPr>
      </w:pPr>
    </w:p>
    <w:p w14:paraId="0F6AF858">
      <w:pPr>
        <w:bidi w:val="0"/>
        <w:rPr>
          <w:rFonts w:hint="eastAsia"/>
          <w:lang w:val="en-US" w:eastAsia="zh-CN"/>
        </w:rPr>
      </w:pPr>
    </w:p>
    <w:p w14:paraId="65D4C48B">
      <w:pPr>
        <w:bidi w:val="0"/>
        <w:rPr>
          <w:rFonts w:hint="eastAsia"/>
          <w:lang w:val="en-US" w:eastAsia="zh-CN"/>
        </w:rPr>
      </w:pPr>
    </w:p>
    <w:p w14:paraId="21ED88D9">
      <w:pPr>
        <w:bidi w:val="0"/>
        <w:rPr>
          <w:rFonts w:hint="eastAsia"/>
          <w:lang w:val="en-US" w:eastAsia="zh-CN"/>
        </w:rPr>
      </w:pPr>
    </w:p>
    <w:p w14:paraId="14A899D2">
      <w:pPr>
        <w:bidi w:val="0"/>
        <w:rPr>
          <w:rFonts w:hint="eastAsia"/>
          <w:lang w:val="en-US" w:eastAsia="zh-CN"/>
        </w:rPr>
      </w:pPr>
    </w:p>
    <w:p w14:paraId="1268CDC9">
      <w:pPr>
        <w:bidi w:val="0"/>
        <w:rPr>
          <w:rFonts w:hint="eastAsia"/>
          <w:lang w:val="en-US" w:eastAsia="zh-CN"/>
        </w:rPr>
      </w:pPr>
    </w:p>
    <w:p w14:paraId="59BD4254">
      <w:pPr>
        <w:bidi w:val="0"/>
        <w:rPr>
          <w:rFonts w:hint="eastAsia"/>
          <w:lang w:val="en-US" w:eastAsia="zh-CN"/>
        </w:rPr>
      </w:pPr>
    </w:p>
    <w:p w14:paraId="691C53B7">
      <w:pPr>
        <w:bidi w:val="0"/>
        <w:rPr>
          <w:rFonts w:hint="eastAsia"/>
          <w:lang w:val="en-US" w:eastAsia="zh-CN"/>
        </w:rPr>
      </w:pPr>
    </w:p>
    <w:p w14:paraId="22D9632B">
      <w:pPr>
        <w:bidi w:val="0"/>
        <w:rPr>
          <w:rFonts w:hint="eastAsia"/>
          <w:lang w:val="en-US" w:eastAsia="zh-CN"/>
        </w:rPr>
      </w:pPr>
    </w:p>
    <w:p w14:paraId="283B390B">
      <w:pPr>
        <w:bidi w:val="0"/>
        <w:rPr>
          <w:rFonts w:hint="eastAsia"/>
          <w:lang w:val="en-US" w:eastAsia="zh-CN"/>
        </w:rPr>
      </w:pPr>
    </w:p>
    <w:p w14:paraId="1B15EB1B">
      <w:pPr>
        <w:bidi w:val="0"/>
        <w:rPr>
          <w:rFonts w:hint="eastAsia"/>
          <w:lang w:val="en-US" w:eastAsia="zh-CN"/>
        </w:rPr>
      </w:pPr>
    </w:p>
    <w:p w14:paraId="440A29F6">
      <w:pPr>
        <w:bidi w:val="0"/>
        <w:rPr>
          <w:rFonts w:hint="eastAsia"/>
          <w:lang w:val="en-US" w:eastAsia="zh-CN"/>
        </w:rPr>
      </w:pPr>
    </w:p>
    <w:p w14:paraId="61DD3D49">
      <w:pPr>
        <w:bidi w:val="0"/>
        <w:rPr>
          <w:rFonts w:hint="eastAsia"/>
          <w:lang w:val="en-US" w:eastAsia="zh-CN"/>
        </w:rPr>
      </w:pPr>
    </w:p>
    <w:p w14:paraId="7AB9DA4A">
      <w:pPr>
        <w:bidi w:val="0"/>
        <w:rPr>
          <w:rFonts w:hint="eastAsia"/>
          <w:lang w:val="en-US" w:eastAsia="zh-CN"/>
        </w:rPr>
      </w:pPr>
    </w:p>
    <w:p w14:paraId="30922C76">
      <w:pPr>
        <w:bidi w:val="0"/>
        <w:rPr>
          <w:rFonts w:hint="eastAsia"/>
          <w:lang w:val="en-US" w:eastAsia="zh-CN"/>
        </w:rPr>
      </w:pPr>
    </w:p>
    <w:p w14:paraId="6D29EBB4">
      <w:pPr>
        <w:bidi w:val="0"/>
        <w:rPr>
          <w:rFonts w:hint="eastAsia"/>
          <w:lang w:val="en-US" w:eastAsia="zh-CN"/>
        </w:rPr>
      </w:pPr>
    </w:p>
    <w:p w14:paraId="1C069B11">
      <w:pPr>
        <w:bidi w:val="0"/>
        <w:rPr>
          <w:rFonts w:hint="eastAsia"/>
          <w:lang w:val="en-US" w:eastAsia="zh-CN"/>
        </w:rPr>
      </w:pPr>
    </w:p>
    <w:p w14:paraId="536EC433">
      <w:pPr>
        <w:bidi w:val="0"/>
        <w:rPr>
          <w:rFonts w:hint="eastAsia"/>
        </w:rPr>
      </w:pPr>
      <w:bookmarkStart w:id="7" w:name="_GoBack"/>
      <w:bookmarkEnd w:id="7"/>
      <w:r>
        <w:rPr>
          <w:rFonts w:hint="eastAsia"/>
          <w:lang w:val="en-US" w:eastAsia="zh-CN"/>
        </w:rPr>
        <w:t>四</w:t>
      </w:r>
      <w:r>
        <w:rPr>
          <w:rFonts w:hint="eastAsia"/>
        </w:rPr>
        <w:t>、调查内容</w:t>
      </w:r>
    </w:p>
    <w:p w14:paraId="183F1511">
      <w:pPr>
        <w:bidi w:val="0"/>
        <w:rPr>
          <w:rFonts w:hint="eastAsia"/>
        </w:rPr>
      </w:pPr>
      <w:r>
        <w:rPr>
          <w:rFonts w:hint="eastAsia"/>
        </w:rPr>
        <w:t>1、问卷邀请函</w:t>
      </w:r>
    </w:p>
    <w:p w14:paraId="0E928252">
      <w:pPr>
        <w:spacing w:line="360" w:lineRule="auto"/>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致</w:t>
      </w:r>
      <w:r>
        <w:rPr>
          <w:rFonts w:hint="eastAsia" w:ascii="仿宋_GB2312" w:hAnsi="仿宋_GB2312" w:eastAsia="仿宋_GB2312" w:cs="仿宋_GB2312"/>
          <w:color w:val="000000" w:themeColor="text1"/>
          <w:sz w:val="21"/>
          <w:szCs w:val="21"/>
          <w:lang w:eastAsia="zh-CN"/>
          <w14:textFill>
            <w14:solidFill>
              <w14:schemeClr w14:val="tx1"/>
            </w14:solidFill>
          </w14:textFill>
        </w:rPr>
        <w:t>贺州市中医医院</w:t>
      </w:r>
      <w:r>
        <w:rPr>
          <w:rFonts w:hint="eastAsia" w:ascii="仿宋_GB2312" w:hAnsi="仿宋_GB2312" w:eastAsia="仿宋_GB2312" w:cs="仿宋_GB2312"/>
          <w:color w:val="000000" w:themeColor="text1"/>
          <w:sz w:val="21"/>
          <w:szCs w:val="21"/>
          <w14:textFill>
            <w14:solidFill>
              <w14:schemeClr w14:val="tx1"/>
            </w14:solidFill>
          </w14:textFill>
        </w:rPr>
        <w:t>：</w:t>
      </w:r>
    </w:p>
    <w:p w14:paraId="318185C4">
      <w:pPr>
        <w:spacing w:line="360" w:lineRule="auto"/>
        <w:ind w:firstLine="420" w:firstLineChars="20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我公司已认真阅读了贵</w:t>
      </w:r>
      <w:r>
        <w:rPr>
          <w:rFonts w:hint="eastAsia" w:ascii="仿宋_GB2312" w:hAnsi="仿宋_GB2312" w:eastAsia="仿宋_GB2312" w:cs="仿宋_GB2312"/>
          <w:color w:val="000000" w:themeColor="text1"/>
          <w:sz w:val="21"/>
          <w:szCs w:val="21"/>
          <w:lang w:eastAsia="zh-CN"/>
          <w14:textFill>
            <w14:solidFill>
              <w14:schemeClr w14:val="tx1"/>
            </w14:solidFill>
          </w14:textFill>
        </w:rPr>
        <w:t>单位</w:t>
      </w:r>
      <w:r>
        <w:rPr>
          <w:rFonts w:hint="eastAsia" w:ascii="仿宋_GB2312" w:hAnsi="仿宋_GB2312" w:eastAsia="仿宋_GB2312" w:cs="仿宋_GB2312"/>
          <w:color w:val="000000" w:themeColor="text1"/>
          <w:sz w:val="21"/>
          <w:szCs w:val="21"/>
          <w14:textFill>
            <w14:solidFill>
              <w14:schemeClr w14:val="tx1"/>
            </w14:solidFill>
          </w14:textFill>
        </w:rPr>
        <w:t>编制的采购市场调研</w:t>
      </w:r>
      <w:r>
        <w:rPr>
          <w:rFonts w:hint="eastAsia" w:ascii="仿宋_GB2312" w:hAnsi="仿宋_GB2312" w:eastAsia="仿宋_GB2312" w:cs="仿宋_GB2312"/>
          <w:color w:val="000000" w:themeColor="text1"/>
          <w:sz w:val="21"/>
          <w:szCs w:val="21"/>
          <w:lang w:eastAsia="zh-CN"/>
          <w14:textFill>
            <w14:solidFill>
              <w14:schemeClr w14:val="tx1"/>
            </w14:solidFill>
          </w14:textFill>
        </w:rPr>
        <w:t>问卷</w:t>
      </w:r>
      <w:r>
        <w:rPr>
          <w:rFonts w:hint="eastAsia" w:ascii="仿宋_GB2312" w:hAnsi="仿宋_GB2312" w:eastAsia="仿宋_GB2312" w:cs="仿宋_GB2312"/>
          <w:color w:val="000000" w:themeColor="text1"/>
          <w:sz w:val="21"/>
          <w:szCs w:val="21"/>
          <w14:textFill>
            <w14:solidFill>
              <w14:schemeClr w14:val="tx1"/>
            </w14:solidFill>
          </w14:textFill>
        </w:rPr>
        <w:t>，充分知悉并了解了贵</w:t>
      </w:r>
      <w:r>
        <w:rPr>
          <w:rFonts w:hint="eastAsia" w:ascii="仿宋_GB2312" w:hAnsi="仿宋_GB2312" w:eastAsia="仿宋_GB2312" w:cs="仿宋_GB2312"/>
          <w:color w:val="000000" w:themeColor="text1"/>
          <w:sz w:val="21"/>
          <w:szCs w:val="21"/>
          <w:lang w:eastAsia="zh-CN"/>
          <w14:textFill>
            <w14:solidFill>
              <w14:schemeClr w14:val="tx1"/>
            </w14:solidFill>
          </w14:textFill>
        </w:rPr>
        <w:t>单位</w:t>
      </w:r>
      <w:r>
        <w:rPr>
          <w:rFonts w:hint="eastAsia" w:ascii="仿宋_GB2312" w:hAnsi="仿宋_GB2312" w:eastAsia="仿宋_GB2312" w:cs="仿宋_GB2312"/>
          <w:color w:val="000000" w:themeColor="text1"/>
          <w:sz w:val="21"/>
          <w:szCs w:val="21"/>
          <w14:textFill>
            <w14:solidFill>
              <w14:schemeClr w14:val="tx1"/>
            </w14:solidFill>
          </w14:textFill>
        </w:rPr>
        <w:t>针对本次采购需求调查内容，我方针对本次调</w:t>
      </w:r>
      <w:r>
        <w:rPr>
          <w:rFonts w:hint="eastAsia" w:ascii="仿宋_GB2312" w:hAnsi="仿宋_GB2312" w:eastAsia="仿宋_GB2312" w:cs="仿宋_GB2312"/>
          <w:color w:val="000000" w:themeColor="text1"/>
          <w:sz w:val="21"/>
          <w:szCs w:val="21"/>
          <w:lang w:eastAsia="zh-CN"/>
          <w14:textFill>
            <w14:solidFill>
              <w14:schemeClr w14:val="tx1"/>
            </w14:solidFill>
          </w14:textFill>
        </w:rPr>
        <w:t>研</w:t>
      </w:r>
      <w:r>
        <w:rPr>
          <w:rFonts w:hint="eastAsia" w:ascii="仿宋_GB2312" w:hAnsi="仿宋_GB2312" w:eastAsia="仿宋_GB2312" w:cs="仿宋_GB2312"/>
          <w:color w:val="000000" w:themeColor="text1"/>
          <w:sz w:val="21"/>
          <w:szCs w:val="21"/>
          <w14:textFill>
            <w14:solidFill>
              <w14:schemeClr w14:val="tx1"/>
            </w14:solidFill>
          </w14:textFill>
        </w:rPr>
        <w:t>问卷的建议或者意见都已在本记录中进行了反映。</w:t>
      </w:r>
    </w:p>
    <w:p w14:paraId="43578E05">
      <w:pPr>
        <w:spacing w:line="360" w:lineRule="auto"/>
        <w:ind w:firstLine="420" w:firstLineChars="20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我方同意贵方无偿采用我方提交的采购需求调</w:t>
      </w:r>
      <w:r>
        <w:rPr>
          <w:rFonts w:hint="eastAsia" w:ascii="仿宋_GB2312" w:hAnsi="仿宋_GB2312" w:eastAsia="仿宋_GB2312" w:cs="仿宋_GB2312"/>
          <w:color w:val="000000" w:themeColor="text1"/>
          <w:sz w:val="21"/>
          <w:szCs w:val="21"/>
          <w:lang w:eastAsia="zh-CN"/>
          <w14:textFill>
            <w14:solidFill>
              <w14:schemeClr w14:val="tx1"/>
            </w14:solidFill>
          </w14:textFill>
        </w:rPr>
        <w:t>研</w:t>
      </w:r>
      <w:r>
        <w:rPr>
          <w:rFonts w:hint="eastAsia" w:ascii="仿宋_GB2312" w:hAnsi="仿宋_GB2312" w:eastAsia="仿宋_GB2312" w:cs="仿宋_GB2312"/>
          <w:color w:val="000000" w:themeColor="text1"/>
          <w:sz w:val="21"/>
          <w:szCs w:val="21"/>
          <w14:textFill>
            <w14:solidFill>
              <w14:schemeClr w14:val="tx1"/>
            </w14:solidFill>
          </w14:textFill>
        </w:rPr>
        <w:t>问卷全部或部分内容作为贵方采购需求的内容，并无需承担任何责任。</w:t>
      </w:r>
    </w:p>
    <w:p w14:paraId="6190A415">
      <w:pPr>
        <w:spacing w:line="360" w:lineRule="auto"/>
        <w:jc w:val="left"/>
        <w:rPr>
          <w:rFonts w:hint="eastAsia" w:ascii="仿宋_GB2312" w:hAnsi="仿宋_GB2312" w:eastAsia="仿宋_GB2312" w:cs="仿宋_GB2312"/>
          <w:color w:val="000000" w:themeColor="text1"/>
          <w:sz w:val="21"/>
          <w:szCs w:val="21"/>
          <w14:textFill>
            <w14:solidFill>
              <w14:schemeClr w14:val="tx1"/>
            </w14:solidFill>
          </w14:textFill>
        </w:rPr>
      </w:pPr>
    </w:p>
    <w:p w14:paraId="714BBC68">
      <w:pPr>
        <w:spacing w:line="360" w:lineRule="auto"/>
        <w:ind w:firstLine="420" w:firstLineChars="20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本公司将严格遵守上述事项，并对其真实性负责。</w:t>
      </w:r>
    </w:p>
    <w:p w14:paraId="7978C6BB">
      <w:pPr>
        <w:wordWrap w:val="0"/>
        <w:rPr>
          <w:rFonts w:hint="eastAsia" w:ascii="仿宋_GB2312" w:hAnsi="仿宋_GB2312" w:eastAsia="仿宋_GB2312" w:cs="仿宋_GB2312"/>
          <w:b/>
          <w:bCs/>
          <w:color w:val="000000" w:themeColor="text1"/>
          <w:sz w:val="21"/>
          <w:szCs w:val="21"/>
          <w14:textFill>
            <w14:solidFill>
              <w14:schemeClr w14:val="tx1"/>
            </w14:solidFill>
          </w14:textFill>
        </w:rPr>
      </w:pPr>
    </w:p>
    <w:p w14:paraId="3545459C">
      <w:pPr>
        <w:spacing w:line="480" w:lineRule="auto"/>
        <w:ind w:right="1205"/>
        <w:jc w:val="right"/>
        <w:rPr>
          <w:rFonts w:hint="eastAsia" w:ascii="仿宋_GB2312" w:hAnsi="仿宋_GB2312" w:eastAsia="仿宋_GB2312" w:cs="仿宋_GB2312"/>
          <w:b/>
          <w:bCs/>
          <w:color w:val="000000" w:themeColor="text1"/>
          <w:sz w:val="21"/>
          <w:szCs w:val="21"/>
          <w:u w:val="single"/>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单位名称：</w:t>
      </w:r>
      <w:r>
        <w:rPr>
          <w:rFonts w:hint="eastAsia" w:ascii="仿宋_GB2312" w:hAnsi="仿宋_GB2312" w:eastAsia="仿宋_GB2312" w:cs="仿宋_GB2312"/>
          <w:b/>
          <w:bCs/>
          <w:color w:val="000000" w:themeColor="text1"/>
          <w:sz w:val="21"/>
          <w:szCs w:val="21"/>
          <w:u w:val="single"/>
          <w14:textFill>
            <w14:solidFill>
              <w14:schemeClr w14:val="tx1"/>
            </w14:solidFill>
          </w14:textFill>
        </w:rPr>
        <w:t xml:space="preserve">          （盖公章）</w:t>
      </w:r>
    </w:p>
    <w:p w14:paraId="065BCFB9">
      <w:pPr>
        <w:wordWrap w:val="0"/>
        <w:spacing w:line="480" w:lineRule="auto"/>
        <w:ind w:right="1205" w:firstLine="3795" w:firstLineChars="1800"/>
        <w:jc w:val="both"/>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联系人：</w:t>
      </w:r>
      <w:r>
        <w:rPr>
          <w:rFonts w:hint="eastAsia" w:ascii="仿宋_GB2312" w:hAnsi="仿宋_GB2312" w:eastAsia="仿宋_GB2312" w:cs="仿宋_GB2312"/>
          <w:b/>
          <w:bCs/>
          <w:color w:val="000000" w:themeColor="text1"/>
          <w:sz w:val="21"/>
          <w:szCs w:val="21"/>
          <w:u w:val="single"/>
          <w14:textFill>
            <w14:solidFill>
              <w14:schemeClr w14:val="tx1"/>
            </w14:solidFill>
          </w14:textFill>
        </w:rPr>
        <w:t xml:space="preserve">        </w:t>
      </w:r>
      <w:r>
        <w:rPr>
          <w:rFonts w:hint="eastAsia" w:ascii="仿宋_GB2312" w:hAnsi="仿宋_GB2312" w:eastAsia="仿宋_GB2312" w:cs="仿宋_GB2312"/>
          <w:b/>
          <w:bCs/>
          <w:color w:val="000000" w:themeColor="text1"/>
          <w:sz w:val="21"/>
          <w:szCs w:val="21"/>
          <w:u w:val="single"/>
          <w:lang w:val="en-US" w:eastAsia="zh-CN"/>
          <w14:textFill>
            <w14:solidFill>
              <w14:schemeClr w14:val="tx1"/>
            </w14:solidFill>
          </w14:textFill>
        </w:rPr>
        <w:t xml:space="preserve">       </w:t>
      </w:r>
      <w:r>
        <w:rPr>
          <w:rFonts w:hint="eastAsia" w:ascii="仿宋_GB2312" w:hAnsi="仿宋_GB2312" w:eastAsia="仿宋_GB2312" w:cs="仿宋_GB2312"/>
          <w:b/>
          <w:bCs/>
          <w:color w:val="000000" w:themeColor="text1"/>
          <w:sz w:val="21"/>
          <w:szCs w:val="21"/>
          <w:u w:val="single"/>
          <w14:textFill>
            <w14:solidFill>
              <w14:schemeClr w14:val="tx1"/>
            </w14:solidFill>
          </w14:textFill>
        </w:rPr>
        <w:t xml:space="preserve">      </w:t>
      </w:r>
    </w:p>
    <w:p w14:paraId="6369827A">
      <w:pPr>
        <w:wordWrap w:val="0"/>
        <w:spacing w:line="480" w:lineRule="auto"/>
        <w:ind w:right="1205" w:firstLine="3795" w:firstLineChars="1800"/>
        <w:jc w:val="both"/>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联系电话：</w:t>
      </w:r>
      <w:r>
        <w:rPr>
          <w:rFonts w:hint="eastAsia" w:ascii="仿宋_GB2312" w:hAnsi="仿宋_GB2312" w:eastAsia="仿宋_GB2312" w:cs="仿宋_GB2312"/>
          <w:b/>
          <w:bCs/>
          <w:color w:val="000000" w:themeColor="text1"/>
          <w:sz w:val="21"/>
          <w:szCs w:val="21"/>
          <w:u w:val="single"/>
          <w14:textFill>
            <w14:solidFill>
              <w14:schemeClr w14:val="tx1"/>
            </w14:solidFill>
          </w14:textFill>
        </w:rPr>
        <w:t xml:space="preserve">     </w:t>
      </w:r>
      <w:r>
        <w:rPr>
          <w:rFonts w:hint="eastAsia" w:ascii="仿宋_GB2312" w:hAnsi="仿宋_GB2312" w:eastAsia="仿宋_GB2312" w:cs="仿宋_GB2312"/>
          <w:b/>
          <w:bCs/>
          <w:color w:val="000000" w:themeColor="text1"/>
          <w:sz w:val="21"/>
          <w:szCs w:val="21"/>
          <w:u w:val="single"/>
          <w:lang w:val="en-US" w:eastAsia="zh-CN"/>
          <w14:textFill>
            <w14:solidFill>
              <w14:schemeClr w14:val="tx1"/>
            </w14:solidFill>
          </w14:textFill>
        </w:rPr>
        <w:t xml:space="preserve">      </w:t>
      </w:r>
      <w:r>
        <w:rPr>
          <w:rFonts w:hint="eastAsia" w:ascii="仿宋_GB2312" w:hAnsi="仿宋_GB2312" w:eastAsia="仿宋_GB2312" w:cs="仿宋_GB2312"/>
          <w:b/>
          <w:bCs/>
          <w:color w:val="000000" w:themeColor="text1"/>
          <w:sz w:val="21"/>
          <w:szCs w:val="21"/>
          <w:u w:val="single"/>
          <w14:textFill>
            <w14:solidFill>
              <w14:schemeClr w14:val="tx1"/>
            </w14:solidFill>
          </w14:textFill>
        </w:rPr>
        <w:t xml:space="preserve">        </w:t>
      </w:r>
    </w:p>
    <w:p w14:paraId="5EDA9B15">
      <w:pPr>
        <w:wordWrap w:val="0"/>
        <w:spacing w:line="480" w:lineRule="auto"/>
        <w:ind w:right="844" w:firstLine="3795" w:firstLineChars="1800"/>
        <w:rPr>
          <w:rFonts w:hint="eastAsia" w:ascii="仿宋_GB2312" w:hAnsi="仿宋_GB2312" w:eastAsia="仿宋_GB2312" w:cs="仿宋_GB2312"/>
          <w:color w:val="000000" w:themeColor="text1"/>
          <w:sz w:val="21"/>
          <w:szCs w:val="21"/>
          <w14:textFill>
            <w14:solidFill>
              <w14:schemeClr w14:val="tx1"/>
            </w14:solidFill>
          </w14:textFill>
        </w:rPr>
      </w:pPr>
      <w:bookmarkStart w:id="2" w:name="_Hlk85126858"/>
      <w:r>
        <w:rPr>
          <w:rFonts w:hint="eastAsia" w:ascii="仿宋_GB2312" w:hAnsi="仿宋_GB2312" w:eastAsia="仿宋_GB2312" w:cs="仿宋_GB2312"/>
          <w:b/>
          <w:bCs/>
          <w:color w:val="000000" w:themeColor="text1"/>
          <w:sz w:val="21"/>
          <w:szCs w:val="21"/>
          <w14:textFill>
            <w14:solidFill>
              <w14:schemeClr w14:val="tx1"/>
            </w14:solidFill>
          </w14:textFill>
        </w:rPr>
        <w:t>日    期：20</w:t>
      </w:r>
      <w:r>
        <w:rPr>
          <w:rFonts w:hint="eastAsia" w:ascii="仿宋_GB2312" w:hAnsi="仿宋_GB2312" w:eastAsia="仿宋_GB2312" w:cs="仿宋_GB2312"/>
          <w:b/>
          <w:bCs/>
          <w:color w:val="000000" w:themeColor="text1"/>
          <w:sz w:val="21"/>
          <w:szCs w:val="21"/>
          <w:lang w:val="en-US" w:eastAsia="zh-CN"/>
          <w14:textFill>
            <w14:solidFill>
              <w14:schemeClr w14:val="tx1"/>
            </w14:solidFill>
          </w14:textFill>
        </w:rPr>
        <w:t>25</w:t>
      </w:r>
      <w:r>
        <w:rPr>
          <w:rFonts w:hint="eastAsia" w:ascii="仿宋_GB2312" w:hAnsi="仿宋_GB2312" w:eastAsia="仿宋_GB2312" w:cs="仿宋_GB2312"/>
          <w:b/>
          <w:bCs/>
          <w:color w:val="000000" w:themeColor="text1"/>
          <w:sz w:val="21"/>
          <w:szCs w:val="21"/>
          <w14:textFill>
            <w14:solidFill>
              <w14:schemeClr w14:val="tx1"/>
            </w14:solidFill>
          </w14:textFill>
        </w:rPr>
        <w:t>年  月  日</w:t>
      </w:r>
      <w:bookmarkEnd w:id="2"/>
      <w:r>
        <w:rPr>
          <w:rFonts w:hint="eastAsia" w:ascii="仿宋_GB2312" w:hAnsi="仿宋_GB2312" w:eastAsia="仿宋_GB2312" w:cs="仿宋_GB2312"/>
          <w:color w:val="000000" w:themeColor="text1"/>
          <w:sz w:val="21"/>
          <w:szCs w:val="21"/>
          <w14:textFill>
            <w14:solidFill>
              <w14:schemeClr w14:val="tx1"/>
            </w14:solidFill>
          </w14:textFill>
        </w:rPr>
        <w:br w:type="page"/>
      </w:r>
    </w:p>
    <w:p w14:paraId="3DEDEAF3">
      <w:pPr>
        <w:bidi w:val="0"/>
        <w:rPr>
          <w:rFonts w:hint="eastAsia"/>
        </w:rPr>
      </w:pPr>
      <w:r>
        <w:rPr>
          <w:rFonts w:hint="eastAsia"/>
        </w:rPr>
        <w:t>2、</w:t>
      </w:r>
      <w:bookmarkEnd w:id="1"/>
      <w:r>
        <w:rPr>
          <w:rFonts w:hint="eastAsia"/>
        </w:rPr>
        <w:t>资料要求</w:t>
      </w:r>
    </w:p>
    <w:p w14:paraId="3E4997ED">
      <w:pPr>
        <w:pStyle w:val="8"/>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1.营业执照副本复印件加盖公章</w:t>
      </w:r>
    </w:p>
    <w:p w14:paraId="36FA5EC1">
      <w:pPr>
        <w:pStyle w:val="8"/>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2.经营许可证复印件加盖公章</w:t>
      </w:r>
    </w:p>
    <w:p w14:paraId="2F9F38FC">
      <w:pPr>
        <w:rPr>
          <w:rFonts w:hint="eastAsia" w:ascii="仿宋_GB2312" w:hAnsi="仿宋_GB2312" w:eastAsia="仿宋_GB2312" w:cs="仿宋_GB2312"/>
          <w:color w:val="000000" w:themeColor="text1"/>
          <w:sz w:val="21"/>
          <w:szCs w:val="21"/>
          <w14:textFill>
            <w14:solidFill>
              <w14:schemeClr w14:val="tx1"/>
            </w14:solidFill>
          </w14:textFill>
        </w:rPr>
      </w:pPr>
    </w:p>
    <w:p w14:paraId="43A75351">
      <w:pPr>
        <w:rPr>
          <w:rFonts w:hint="eastAsia" w:ascii="仿宋_GB2312" w:hAnsi="仿宋_GB2312" w:eastAsia="仿宋_GB2312" w:cs="仿宋_GB2312"/>
          <w:color w:val="000000" w:themeColor="text1"/>
          <w:sz w:val="21"/>
          <w:szCs w:val="21"/>
          <w14:textFill>
            <w14:solidFill>
              <w14:schemeClr w14:val="tx1"/>
            </w14:solidFill>
          </w14:textFill>
        </w:rPr>
      </w:pPr>
    </w:p>
    <w:p w14:paraId="730B3B43">
      <w:pPr>
        <w:widowControl/>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br w:type="page"/>
      </w:r>
    </w:p>
    <w:p w14:paraId="4B7967F0">
      <w:pPr>
        <w:bidi w:val="0"/>
        <w:rPr>
          <w:rFonts w:hint="eastAsia"/>
        </w:rPr>
      </w:pPr>
      <w:bookmarkStart w:id="3" w:name="_Toc24690"/>
      <w:r>
        <w:rPr>
          <w:rFonts w:hint="eastAsia"/>
        </w:rPr>
        <w:t>3、市场调查情况说明</w:t>
      </w:r>
    </w:p>
    <w:p w14:paraId="7EC6A056">
      <w:pPr>
        <w:pStyle w:val="17"/>
        <w:numPr>
          <w:ilvl w:val="0"/>
          <w:numId w:val="2"/>
        </w:numPr>
        <w:spacing w:before="156" w:beforeLines="50" w:line="360" w:lineRule="auto"/>
        <w:ind w:left="1202"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相关产业发展情况</w:t>
      </w:r>
      <w:r>
        <w:rPr>
          <w:rFonts w:hint="eastAsia" w:ascii="仿宋_GB2312" w:hAnsi="仿宋_GB2312" w:eastAsia="仿宋_GB2312" w:cs="仿宋_GB2312"/>
          <w:color w:val="000000" w:themeColor="text1"/>
          <w:sz w:val="21"/>
          <w:szCs w:val="21"/>
          <w14:textFill>
            <w14:solidFill>
              <w14:schemeClr w14:val="tx1"/>
            </w14:solidFill>
          </w14:textFill>
        </w:rPr>
        <w:t>（产品市场情况，更新迭代或技术发展的情况描述）</w:t>
      </w:r>
    </w:p>
    <w:p w14:paraId="2C5EAC08">
      <w:pPr>
        <w:pStyle w:val="17"/>
        <w:spacing w:line="360" w:lineRule="auto"/>
        <w:ind w:left="48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如：产品目前已发展到第X代，市场上流行第X代产品，流行的技术和特点等。</w:t>
      </w:r>
    </w:p>
    <w:p w14:paraId="7487F85F">
      <w:pPr>
        <w:pStyle w:val="17"/>
        <w:spacing w:line="360" w:lineRule="auto"/>
        <w:ind w:left="48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p>
    <w:p w14:paraId="1D23DE5A">
      <w:pPr>
        <w:spacing w:line="360" w:lineRule="auto"/>
        <w:jc w:val="left"/>
        <w:rPr>
          <w:rFonts w:hint="eastAsia" w:ascii="仿宋_GB2312" w:hAnsi="仿宋_GB2312" w:eastAsia="仿宋_GB2312" w:cs="仿宋_GB2312"/>
          <w:color w:val="000000" w:themeColor="text1"/>
          <w:sz w:val="21"/>
          <w:szCs w:val="21"/>
          <w14:textFill>
            <w14:solidFill>
              <w14:schemeClr w14:val="tx1"/>
            </w14:solidFill>
          </w14:textFill>
        </w:rPr>
      </w:pPr>
    </w:p>
    <w:p w14:paraId="27064FDD">
      <w:pPr>
        <w:pStyle w:val="17"/>
        <w:numPr>
          <w:ilvl w:val="0"/>
          <w:numId w:val="2"/>
        </w:numPr>
        <w:spacing w:line="360" w:lineRule="auto"/>
        <w:ind w:firstLineChars="0"/>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产品市场供给情况以及供货周期；</w:t>
      </w:r>
    </w:p>
    <w:p w14:paraId="63E07C0B">
      <w:pPr>
        <w:pStyle w:val="17"/>
        <w:spacing w:line="360" w:lineRule="auto"/>
        <w:ind w:left="120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如：该产品国内/广西年供应量；产品生产周期，安装周期等。</w:t>
      </w:r>
    </w:p>
    <w:p w14:paraId="42C8B348">
      <w:pPr>
        <w:pStyle w:val="17"/>
        <w:spacing w:line="360" w:lineRule="auto"/>
        <w:ind w:left="120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p>
    <w:p w14:paraId="51D13ADA">
      <w:pPr>
        <w:pStyle w:val="17"/>
        <w:numPr>
          <w:ilvl w:val="0"/>
          <w:numId w:val="2"/>
        </w:numPr>
        <w:spacing w:line="360" w:lineRule="auto"/>
        <w:ind w:firstLineChars="0"/>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可能涉及的运行维护、升级更新、备品备件、耗材等后续维护服务及费用情况；</w:t>
      </w:r>
    </w:p>
    <w:p w14:paraId="31B63851">
      <w:pPr>
        <w:pStyle w:val="17"/>
        <w:spacing w:line="360" w:lineRule="auto"/>
        <w:ind w:left="120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如：产品需X月进行一次常规检查、保养及费用；产品的软件不定期更新及费用；产品的备品备件、易耗品及费用；产品的维护维修介绍及费用等情况。</w:t>
      </w:r>
    </w:p>
    <w:p w14:paraId="442D5DB9">
      <w:pPr>
        <w:pStyle w:val="17"/>
        <w:spacing w:line="360" w:lineRule="auto"/>
        <w:ind w:left="120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p>
    <w:p w14:paraId="63229391">
      <w:pPr>
        <w:pStyle w:val="17"/>
        <w:numPr>
          <w:ilvl w:val="0"/>
          <w:numId w:val="2"/>
        </w:numPr>
        <w:spacing w:line="360" w:lineRule="auto"/>
        <w:ind w:firstLineChars="0"/>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同类采购项目历史成交信息（格式自拟，附中标（成交）通知书）；</w:t>
      </w:r>
    </w:p>
    <w:tbl>
      <w:tblPr>
        <w:tblStyle w:val="14"/>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序号</w:t>
            </w:r>
          </w:p>
        </w:tc>
        <w:tc>
          <w:tcPr>
            <w:tcW w:w="1387" w:type="dxa"/>
            <w:vAlign w:val="center"/>
          </w:tcPr>
          <w:p w14:paraId="27F9A7DA">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产品名称</w:t>
            </w:r>
          </w:p>
        </w:tc>
        <w:tc>
          <w:tcPr>
            <w:tcW w:w="1913" w:type="dxa"/>
            <w:vAlign w:val="center"/>
          </w:tcPr>
          <w:p w14:paraId="63E1DB7D">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制造商或服务商</w:t>
            </w:r>
          </w:p>
        </w:tc>
        <w:tc>
          <w:tcPr>
            <w:tcW w:w="1199" w:type="dxa"/>
            <w:vAlign w:val="center"/>
          </w:tcPr>
          <w:p w14:paraId="348BF487">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规格型号</w:t>
            </w:r>
          </w:p>
        </w:tc>
        <w:tc>
          <w:tcPr>
            <w:tcW w:w="1295" w:type="dxa"/>
            <w:vAlign w:val="center"/>
          </w:tcPr>
          <w:p w14:paraId="3567E33B">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成交价</w:t>
            </w:r>
          </w:p>
        </w:tc>
        <w:tc>
          <w:tcPr>
            <w:tcW w:w="1360" w:type="dxa"/>
            <w:vAlign w:val="center"/>
          </w:tcPr>
          <w:p w14:paraId="2B6674B7">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采购单位</w:t>
            </w:r>
          </w:p>
        </w:tc>
        <w:tc>
          <w:tcPr>
            <w:tcW w:w="1328" w:type="dxa"/>
          </w:tcPr>
          <w:p w14:paraId="79E3C148">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87" w:type="dxa"/>
          </w:tcPr>
          <w:p w14:paraId="1B52B6AF">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913" w:type="dxa"/>
          </w:tcPr>
          <w:p w14:paraId="6F91CA98">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199" w:type="dxa"/>
          </w:tcPr>
          <w:p w14:paraId="17D8146C">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295" w:type="dxa"/>
          </w:tcPr>
          <w:p w14:paraId="3DBA9C20">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60" w:type="dxa"/>
          </w:tcPr>
          <w:p w14:paraId="6C663B1E">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28" w:type="dxa"/>
          </w:tcPr>
          <w:p w14:paraId="0C3EAF0B">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87" w:type="dxa"/>
          </w:tcPr>
          <w:p w14:paraId="08628089">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913" w:type="dxa"/>
          </w:tcPr>
          <w:p w14:paraId="2B047814">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199" w:type="dxa"/>
          </w:tcPr>
          <w:p w14:paraId="6BD9ED73">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295" w:type="dxa"/>
          </w:tcPr>
          <w:p w14:paraId="0B2CC433">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60" w:type="dxa"/>
          </w:tcPr>
          <w:p w14:paraId="5D2BA18E">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28" w:type="dxa"/>
          </w:tcPr>
          <w:p w14:paraId="05ADACED">
            <w:pPr>
              <w:pStyle w:val="8"/>
              <w:jc w:val="center"/>
              <w:rPr>
                <w:rFonts w:hint="eastAsia" w:ascii="仿宋_GB2312" w:hAnsi="仿宋_GB2312" w:eastAsia="仿宋_GB2312" w:cs="仿宋_GB2312"/>
                <w:color w:val="000000" w:themeColor="text1"/>
                <w:sz w:val="21"/>
                <w:szCs w:val="21"/>
                <w14:textFill>
                  <w14:solidFill>
                    <w14:schemeClr w14:val="tx1"/>
                  </w14:solidFill>
                </w14:textFill>
              </w:rPr>
            </w:pPr>
          </w:p>
        </w:tc>
      </w:tr>
    </w:tbl>
    <w:p w14:paraId="2AFDB5C6">
      <w:pPr>
        <w:pStyle w:val="17"/>
        <w:spacing w:line="360" w:lineRule="auto"/>
        <w:ind w:left="120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p>
    <w:p w14:paraId="69202F42">
      <w:pPr>
        <w:pStyle w:val="17"/>
        <w:spacing w:line="360" w:lineRule="auto"/>
        <w:ind w:left="1200" w:firstLine="0" w:firstLineChars="0"/>
        <w:jc w:val="left"/>
        <w:rPr>
          <w:rFonts w:hint="eastAsia" w:ascii="仿宋_GB2312" w:hAnsi="仿宋_GB2312" w:eastAsia="仿宋_GB2312" w:cs="仿宋_GB2312"/>
          <w:color w:val="000000" w:themeColor="text1"/>
          <w:sz w:val="21"/>
          <w:szCs w:val="21"/>
          <w14:textFill>
            <w14:solidFill>
              <w14:schemeClr w14:val="tx1"/>
            </w14:solidFill>
          </w14:textFill>
        </w:rPr>
      </w:pPr>
    </w:p>
    <w:p w14:paraId="5DDA8DA7">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6E17E2C6">
      <w:pPr>
        <w:widowControl/>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br w:type="page"/>
      </w:r>
    </w:p>
    <w:p w14:paraId="349BD741">
      <w:pPr>
        <w:bidi w:val="0"/>
        <w:rPr>
          <w:rFonts w:hint="eastAsia"/>
          <w:lang w:eastAsia="zh-CN"/>
        </w:rPr>
      </w:pPr>
      <w:r>
        <w:rPr>
          <w:rFonts w:hint="eastAsia"/>
        </w:rPr>
        <w:t>4、</w:t>
      </w:r>
      <w:r>
        <w:rPr>
          <w:rFonts w:hint="eastAsia"/>
          <w:lang w:eastAsia="zh-CN"/>
        </w:rPr>
        <w:t>该</w:t>
      </w:r>
      <w:r>
        <w:rPr>
          <w:rFonts w:hint="eastAsia"/>
          <w:lang w:val="en-US" w:eastAsia="zh-CN"/>
        </w:rPr>
        <w:t>项目</w:t>
      </w:r>
      <w:r>
        <w:rPr>
          <w:rFonts w:hint="eastAsia"/>
          <w:lang w:eastAsia="zh-CN"/>
        </w:rPr>
        <w:t>具体</w:t>
      </w:r>
      <w:r>
        <w:rPr>
          <w:rFonts w:hint="eastAsia"/>
        </w:rPr>
        <w:t>技术参数</w:t>
      </w:r>
      <w:r>
        <w:rPr>
          <w:rFonts w:hint="eastAsia"/>
          <w:lang w:eastAsia="zh-CN"/>
        </w:rPr>
        <w:t>配置偏离表</w:t>
      </w:r>
    </w:p>
    <w:p w14:paraId="2F1BBD04">
      <w:pP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例：</w:t>
      </w:r>
    </w:p>
    <w:tbl>
      <w:tblPr>
        <w:tblStyle w:val="13"/>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仿宋_GB2312" w:hAnsi="仿宋_GB2312" w:eastAsia="仿宋_GB2312" w:cs="仿宋_GB2312"/>
                <w:color w:val="000000" w:themeColor="text1"/>
                <w:kern w:val="2"/>
                <w:sz w:val="21"/>
                <w:szCs w:val="21"/>
                <w:highlight w:val="none"/>
                <w:lang w:eastAsia="zh-CN"/>
                <w14:textFill>
                  <w14:solidFill>
                    <w14:schemeClr w14:val="tx1"/>
                  </w14:solidFill>
                </w14:textFill>
              </w:rPr>
            </w:pPr>
            <w:r>
              <w:rPr>
                <w:rFonts w:hint="eastAsia" w:ascii="仿宋" w:hAnsi="仿宋" w:eastAsia="仿宋" w:cs="仿宋"/>
                <w:b/>
                <w:bCs/>
                <w:color w:val="000000" w:themeColor="text1"/>
                <w:kern w:val="0"/>
                <w:sz w:val="22"/>
                <w:szCs w:val="22"/>
                <w:lang w:val="en-US" w:eastAsia="zh-CN"/>
                <w14:textFill>
                  <w14:solidFill>
                    <w14:schemeClr w14:val="tx1"/>
                  </w14:solidFill>
                </w14:textFill>
              </w:rPr>
              <w:t>服务内容</w:t>
            </w:r>
          </w:p>
        </w:tc>
        <w:tc>
          <w:tcPr>
            <w:tcW w:w="2790" w:type="dxa"/>
            <w:vAlign w:val="center"/>
          </w:tcPr>
          <w:p w14:paraId="4DDBC534">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仿宋_GB2312" w:hAnsi="仿宋_GB2312" w:eastAsia="仿宋_GB2312" w:cs="仿宋_GB2312"/>
                <w:color w:val="000000" w:themeColor="text1"/>
                <w:kern w:val="2"/>
                <w:sz w:val="21"/>
                <w:szCs w:val="21"/>
                <w:highlight w:val="none"/>
                <w:lang w:val="en-US" w:eastAsia="zh-CN"/>
                <w14:textFill>
                  <w14:solidFill>
                    <w14:schemeClr w14:val="tx1"/>
                  </w14:solidFill>
                </w14:textFill>
              </w:rPr>
            </w:pPr>
            <w:r>
              <w:rPr>
                <w:rFonts w:hint="eastAsia" w:ascii="仿宋" w:hAnsi="仿宋" w:eastAsia="仿宋" w:cs="仿宋"/>
                <w:b/>
                <w:bCs/>
                <w:color w:val="000000" w:themeColor="text1"/>
                <w:kern w:val="0"/>
                <w:sz w:val="22"/>
                <w:szCs w:val="22"/>
                <w:lang w:val="en-US" w:eastAsia="zh-CN"/>
                <w14:textFill>
                  <w14:solidFill>
                    <w14:schemeClr w14:val="tx1"/>
                  </w14:solidFill>
                </w14:textFill>
              </w:rPr>
              <w:t>服务模块</w:t>
            </w:r>
          </w:p>
        </w:tc>
        <w:tc>
          <w:tcPr>
            <w:tcW w:w="1855" w:type="dxa"/>
            <w:vAlign w:val="center"/>
          </w:tcPr>
          <w:p w14:paraId="507D62C4">
            <w:pPr>
              <w:pStyle w:val="9"/>
              <w:spacing w:line="520" w:lineRule="exact"/>
              <w:ind w:firstLine="0" w:firstLineChars="0"/>
              <w:jc w:val="center"/>
              <w:rPr>
                <w:rFonts w:hint="eastAsia" w:ascii="仿宋_GB2312" w:hAnsi="仿宋_GB2312" w:eastAsia="仿宋_GB2312" w:cs="仿宋_GB2312"/>
                <w:color w:val="000000" w:themeColor="text1"/>
                <w:kern w:val="2"/>
                <w:sz w:val="21"/>
                <w:szCs w:val="21"/>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2"/>
                <w:sz w:val="21"/>
                <w:szCs w:val="21"/>
                <w:highlight w:val="none"/>
                <w:lang w:val="en-US" w:eastAsia="zh-CN"/>
                <w14:textFill>
                  <w14:solidFill>
                    <w14:schemeClr w14:val="tx1"/>
                  </w14:solidFill>
                </w14:textFill>
              </w:rPr>
              <w:t>是否偏离</w:t>
            </w:r>
          </w:p>
        </w:tc>
        <w:tc>
          <w:tcPr>
            <w:tcW w:w="1855" w:type="dxa"/>
            <w:vAlign w:val="center"/>
          </w:tcPr>
          <w:p w14:paraId="15C9F476">
            <w:pPr>
              <w:pStyle w:val="9"/>
              <w:spacing w:line="520" w:lineRule="exact"/>
              <w:ind w:firstLine="0" w:firstLineChars="0"/>
              <w:jc w:val="center"/>
              <w:rPr>
                <w:rFonts w:hint="eastAsia" w:ascii="仿宋_GB2312" w:hAnsi="仿宋_GB2312" w:eastAsia="仿宋_GB2312" w:cs="仿宋_GB2312"/>
                <w:color w:val="000000" w:themeColor="text1"/>
                <w:kern w:val="2"/>
                <w:sz w:val="21"/>
                <w:szCs w:val="21"/>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2"/>
                <w:sz w:val="21"/>
                <w:szCs w:val="21"/>
                <w:highlight w:val="none"/>
                <w:lang w:val="en-US" w:eastAsia="zh-CN"/>
                <w14:textFill>
                  <w14:solidFill>
                    <w14:schemeClr w14:val="tx1"/>
                  </w14:solidFill>
                </w14:textFill>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9"/>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2790" w:type="dxa"/>
            <w:vAlign w:val="top"/>
          </w:tcPr>
          <w:p w14:paraId="732044AC">
            <w:pPr>
              <w:pStyle w:val="9"/>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25EC6D07">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06E8161F">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19DD823E">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38F2EDCE">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6AB0313D">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0A0C657D">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3382A5EE">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c>
          <w:tcPr>
            <w:tcW w:w="1855" w:type="dxa"/>
            <w:vAlign w:val="top"/>
          </w:tcPr>
          <w:p w14:paraId="35784C5D">
            <w:pPr>
              <w:spacing w:line="520" w:lineRule="exact"/>
              <w:ind w:firstLine="0" w:firstLineChars="0"/>
              <w:jc w:val="both"/>
              <w:rPr>
                <w:rFonts w:hint="eastAsia" w:ascii="仿宋_GB2312" w:hAnsi="仿宋_GB2312" w:eastAsia="仿宋_GB2312" w:cs="仿宋_GB2312"/>
                <w:color w:val="000000" w:themeColor="text1"/>
                <w:kern w:val="2"/>
                <w:sz w:val="21"/>
                <w:szCs w:val="21"/>
                <w:highlight w:val="none"/>
                <w14:textFill>
                  <w14:solidFill>
                    <w14:schemeClr w14:val="tx1"/>
                  </w14:solidFill>
                </w14:textFill>
              </w:rPr>
            </w:pPr>
          </w:p>
        </w:tc>
      </w:tr>
    </w:tbl>
    <w:p w14:paraId="578B895C">
      <w:pPr>
        <w:spacing w:before="156" w:beforeLines="50" w:line="360" w:lineRule="auto"/>
        <w:ind w:firstLine="422" w:firstLineChars="200"/>
        <w:jc w:val="left"/>
        <w:rPr>
          <w:rFonts w:hint="eastAsia" w:ascii="仿宋_GB2312" w:hAnsi="仿宋_GB2312" w:eastAsia="仿宋_GB2312" w:cs="仿宋_GB2312"/>
          <w:b/>
          <w:bCs/>
          <w:color w:val="000000" w:themeColor="text1"/>
          <w:sz w:val="21"/>
          <w:szCs w:val="21"/>
          <w:lang w:val="en-US" w:eastAsia="zh-CN"/>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如有标星号的参数，须列举三家能满足的品牌及型号，没有其他品牌型号能满足的参数必须特别标明；</w:t>
      </w:r>
      <w:r>
        <w:rPr>
          <w:rFonts w:hint="eastAsia" w:ascii="仿宋_GB2312" w:hAnsi="仿宋_GB2312" w:eastAsia="仿宋_GB2312" w:cs="仿宋_GB2312"/>
          <w:b/>
          <w:bCs/>
          <w:color w:val="000000" w:themeColor="text1"/>
          <w:sz w:val="21"/>
          <w:szCs w:val="21"/>
          <w:lang w:eastAsia="zh-CN"/>
          <w14:textFill>
            <w14:solidFill>
              <w14:schemeClr w14:val="tx1"/>
            </w14:solidFill>
          </w14:textFill>
        </w:rPr>
        <w:t>表中产品参数不可复制粘贴，所提供的</w:t>
      </w:r>
      <w:r>
        <w:rPr>
          <w:rFonts w:hint="eastAsia" w:ascii="仿宋_GB2312" w:hAnsi="仿宋_GB2312" w:eastAsia="仿宋_GB2312" w:cs="仿宋_GB2312"/>
          <w:b/>
          <w:bCs/>
          <w:color w:val="000000" w:themeColor="text1"/>
          <w:sz w:val="21"/>
          <w:szCs w:val="21"/>
          <w:lang w:val="en-US" w:eastAsia="zh-CN"/>
          <w14:textFill>
            <w14:solidFill>
              <w14:schemeClr w14:val="tx1"/>
            </w14:solidFill>
          </w14:textFill>
        </w:rPr>
        <w:t>服务</w:t>
      </w:r>
      <w:r>
        <w:rPr>
          <w:rFonts w:hint="eastAsia" w:ascii="仿宋_GB2312" w:hAnsi="仿宋_GB2312" w:eastAsia="仿宋_GB2312" w:cs="仿宋_GB2312"/>
          <w:b/>
          <w:bCs/>
          <w:color w:val="000000" w:themeColor="text1"/>
          <w:sz w:val="21"/>
          <w:szCs w:val="21"/>
          <w:lang w:eastAsia="zh-CN"/>
          <w14:textFill>
            <w14:solidFill>
              <w14:schemeClr w14:val="tx1"/>
            </w14:solidFill>
          </w14:textFill>
        </w:rPr>
        <w:t>参数至少满足不低于</w:t>
      </w:r>
      <w:r>
        <w:rPr>
          <w:rFonts w:hint="eastAsia" w:ascii="仿宋_GB2312" w:hAnsi="仿宋_GB2312" w:eastAsia="仿宋_GB2312" w:cs="仿宋_GB2312"/>
          <w:b/>
          <w:bCs/>
          <w:color w:val="000000" w:themeColor="text1"/>
          <w:sz w:val="21"/>
          <w:szCs w:val="21"/>
          <w:lang w:val="en-US" w:eastAsia="zh-CN"/>
          <w14:textFill>
            <w14:solidFill>
              <w14:schemeClr w14:val="tx1"/>
            </w14:solidFill>
          </w14:textFill>
        </w:rPr>
        <w:t>80%的参数无偏离或正偏离。</w:t>
      </w:r>
    </w:p>
    <w:p w14:paraId="459DDA17">
      <w:pPr>
        <w:spacing w:before="156" w:beforeLines="50" w:line="360" w:lineRule="auto"/>
        <w:ind w:firstLine="422" w:firstLineChars="200"/>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（注：以上表格为例表，供应商根据项目特点自行修改）</w:t>
      </w:r>
    </w:p>
    <w:p w14:paraId="35F6C581">
      <w:pPr>
        <w:widowControl/>
        <w:jc w:val="lef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br w:type="page"/>
      </w:r>
    </w:p>
    <w:p w14:paraId="2FE15ECE">
      <w:pPr>
        <w:bidi w:val="0"/>
        <w:rPr>
          <w:rFonts w:hint="eastAsia"/>
        </w:rPr>
      </w:pPr>
      <w:bookmarkStart w:id="4" w:name="_Toc9268"/>
      <w:r>
        <w:rPr>
          <w:rFonts w:hint="eastAsia"/>
        </w:rPr>
        <w:t>5、商务建议文件</w:t>
      </w:r>
      <w:bookmarkEnd w:id="4"/>
    </w:p>
    <w:p w14:paraId="323A30B5">
      <w:pPr>
        <w:spacing w:line="360" w:lineRule="auto"/>
        <w:ind w:firstLine="420" w:firstLineChars="200"/>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供应商可根据附件所列商务要求提出本行业通行或对有利于项目开展的商务建议，格式自拟。</w:t>
      </w:r>
    </w:p>
    <w:p w14:paraId="5955597A">
      <w:pPr>
        <w:widowControl/>
        <w:jc w:val="left"/>
        <w:rPr>
          <w:rFonts w:hint="eastAsia" w:ascii="仿宋_GB2312" w:hAnsi="仿宋_GB2312" w:eastAsia="仿宋_GB2312" w:cs="仿宋_GB2312"/>
          <w:color w:val="000000" w:themeColor="text1"/>
          <w:sz w:val="21"/>
          <w:szCs w:val="21"/>
          <w14:textFill>
            <w14:solidFill>
              <w14:schemeClr w14:val="tx1"/>
            </w14:solidFill>
          </w14:textFill>
        </w:rPr>
      </w:pPr>
    </w:p>
    <w:p w14:paraId="6115AD51">
      <w:pPr>
        <w:widowControl/>
        <w:jc w:val="left"/>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br w:type="page"/>
      </w:r>
    </w:p>
    <w:p w14:paraId="67B8D4A1">
      <w:pPr>
        <w:bidi w:val="0"/>
        <w:rPr>
          <w:rFonts w:hint="eastAsia"/>
        </w:rPr>
      </w:pPr>
      <w:r>
        <w:rPr>
          <w:rFonts w:hint="eastAsia"/>
        </w:rPr>
        <w:t>6、</w:t>
      </w:r>
      <w:bookmarkStart w:id="5" w:name="_Toc37256575"/>
      <w:bookmarkStart w:id="6" w:name="_Toc5245"/>
      <w:r>
        <w:rPr>
          <w:rFonts w:hint="eastAsia"/>
        </w:rPr>
        <w:t>报价一览表</w:t>
      </w:r>
      <w:bookmarkEnd w:id="3"/>
      <w:bookmarkEnd w:id="5"/>
      <w:bookmarkEnd w:id="6"/>
    </w:p>
    <w:tbl>
      <w:tblPr>
        <w:tblStyle w:val="13"/>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lang w:val="en-US" w:eastAsia="zh-CN"/>
                <w14:textFill>
                  <w14:solidFill>
                    <w14:schemeClr w14:val="tx1"/>
                  </w14:solidFill>
                </w14:textFill>
              </w:rPr>
              <w:t>项目</w:t>
            </w:r>
            <w:r>
              <w:rPr>
                <w:rFonts w:hint="eastAsia" w:ascii="仿宋_GB2312" w:hAnsi="仿宋_GB2312" w:eastAsia="仿宋_GB2312" w:cs="仿宋_GB2312"/>
                <w:b/>
                <w:bCs/>
                <w:color w:val="000000" w:themeColor="text1"/>
                <w:sz w:val="21"/>
                <w:szCs w:val="21"/>
                <w14:textFill>
                  <w14:solidFill>
                    <w14:schemeClr w14:val="tx1"/>
                  </w14:solidFill>
                </w14:textFill>
              </w:rPr>
              <w:t>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int="eastAsia" w:ascii="仿宋_GB2312" w:hAnsi="仿宋_GB2312" w:eastAsia="仿宋_GB2312" w:cs="仿宋_GB2312"/>
                <w:b/>
                <w:bCs/>
                <w:color w:val="000000" w:themeColor="text1"/>
                <w:sz w:val="21"/>
                <w:szCs w:val="21"/>
                <w14:textFill>
                  <w14:solidFill>
                    <w14:schemeClr w14:val="tx1"/>
                  </w14:solidFill>
                </w14:textFill>
              </w:rPr>
            </w:pPr>
            <w:r>
              <w:rPr>
                <w:rFonts w:hint="eastAsia" w:ascii="仿宋_GB2312" w:hAnsi="仿宋_GB2312" w:eastAsia="仿宋_GB2312" w:cs="仿宋_GB2312"/>
                <w:b/>
                <w:bCs/>
                <w:color w:val="000000" w:themeColor="text1"/>
                <w:sz w:val="21"/>
                <w:szCs w:val="21"/>
                <w14:textFill>
                  <w14:solidFill>
                    <w14:schemeClr w14:val="tx1"/>
                  </w14:solidFill>
                </w14:textFill>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bCs/>
                <w:color w:val="000000" w:themeColor="text1"/>
                <w:sz w:val="21"/>
                <w:szCs w:val="21"/>
                <w14:textFill>
                  <w14:solidFill>
                    <w14:schemeClr w14:val="tx1"/>
                  </w14:solidFill>
                </w14:textFill>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仿宋_GB2312" w:hAnsi="仿宋_GB2312" w:eastAsia="仿宋_GB2312" w:cs="仿宋_GB2312"/>
                <w:color w:val="000000" w:themeColor="text1"/>
                <w:sz w:val="21"/>
                <w:szCs w:val="21"/>
                <w:lang w:eastAsia="zh-CN"/>
                <w14:textFill>
                  <w14:solidFill>
                    <w14:schemeClr w14:val="tx1"/>
                  </w14:solidFill>
                </w14:textFill>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hint="eastAsia" w:ascii="仿宋_GB2312" w:hAnsi="仿宋_GB2312" w:eastAsia="仿宋_GB2312" w:cs="仿宋_GB2312"/>
                <w:color w:val="000000" w:themeColor="text1"/>
                <w:sz w:val="21"/>
                <w:szCs w:val="21"/>
                <w14:textFill>
                  <w14:solidFill>
                    <w14:schemeClr w14:val="tx1"/>
                  </w14:solidFill>
                </w14:textFill>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hint="eastAsia" w:ascii="仿宋_GB2312" w:hAnsi="仿宋_GB2312" w:eastAsia="仿宋_GB2312" w:cs="仿宋_GB2312"/>
                <w:color w:val="000000" w:themeColor="text1"/>
                <w:sz w:val="21"/>
                <w:szCs w:val="21"/>
                <w14:textFill>
                  <w14:solidFill>
                    <w14:schemeClr w14:val="tx1"/>
                  </w14:solidFill>
                </w14:textFill>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合计（元）：                 大写（元）：</w:t>
            </w:r>
          </w:p>
        </w:tc>
      </w:tr>
    </w:tbl>
    <w:p w14:paraId="79BF9DC2">
      <w:pPr>
        <w:rPr>
          <w:rFonts w:hint="eastAsia" w:ascii="仿宋_GB2312" w:hAnsi="仿宋_GB2312" w:eastAsia="仿宋_GB2312" w:cs="仿宋_GB2312"/>
          <w:color w:val="000000" w:themeColor="text1"/>
          <w:sz w:val="21"/>
          <w:szCs w:val="21"/>
          <w14:textFill>
            <w14:solidFill>
              <w14:schemeClr w14:val="tx1"/>
            </w14:solidFill>
          </w14:textFill>
        </w:rPr>
      </w:pPr>
    </w:p>
    <w:p w14:paraId="115112DB">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1A3DC288">
      <w:pPr>
        <w:wordWrap w:val="0"/>
        <w:ind w:firstLine="420" w:firstLineChars="200"/>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注：以上报价应包含本项目所需的一切费用。</w:t>
      </w:r>
    </w:p>
    <w:p w14:paraId="41C0678D">
      <w:pPr>
        <w:rPr>
          <w:rFonts w:hint="eastAsia" w:ascii="仿宋_GB2312" w:hAnsi="仿宋_GB2312" w:eastAsia="仿宋_GB2312" w:cs="仿宋_GB2312"/>
          <w:color w:val="000000" w:themeColor="text1"/>
          <w:sz w:val="21"/>
          <w:szCs w:val="21"/>
          <w14:textFill>
            <w14:solidFill>
              <w14:schemeClr w14:val="tx1"/>
            </w14:solidFill>
          </w14:textFill>
        </w:rPr>
      </w:pPr>
    </w:p>
    <w:p w14:paraId="4BFB662C">
      <w:pPr>
        <w:jc w:val="righ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单位名称：</w:t>
      </w:r>
      <w:r>
        <w:rPr>
          <w:rFonts w:hint="eastAsia" w:ascii="仿宋_GB2312" w:hAnsi="仿宋_GB2312" w:eastAsia="仿宋_GB2312" w:cs="仿宋_GB2312"/>
          <w:color w:val="000000" w:themeColor="text1"/>
          <w:sz w:val="21"/>
          <w:szCs w:val="21"/>
          <w:u w:val="single"/>
          <w14:textFill>
            <w14:solidFill>
              <w14:schemeClr w14:val="tx1"/>
            </w14:solidFill>
          </w14:textFill>
        </w:rPr>
        <w:t xml:space="preserve">              </w:t>
      </w:r>
      <w:r>
        <w:rPr>
          <w:rFonts w:hint="eastAsia" w:ascii="仿宋_GB2312" w:hAnsi="仿宋_GB2312" w:eastAsia="仿宋_GB2312" w:cs="仿宋_GB2312"/>
          <w:color w:val="000000" w:themeColor="text1"/>
          <w:sz w:val="21"/>
          <w:szCs w:val="21"/>
          <w14:textFill>
            <w14:solidFill>
              <w14:schemeClr w14:val="tx1"/>
            </w14:solidFill>
          </w14:textFill>
        </w:rPr>
        <w:t>（单位盖章）</w:t>
      </w:r>
    </w:p>
    <w:p w14:paraId="237EAD05">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14365B7C">
      <w:pPr>
        <w:widowControl/>
        <w:jc w:val="right"/>
        <w:rPr>
          <w:rFonts w:hint="eastAsia" w:ascii="仿宋_GB2312" w:hAnsi="仿宋_GB2312" w:eastAsia="仿宋_GB2312" w:cs="仿宋_GB2312"/>
          <w:color w:val="000000" w:themeColor="text1"/>
          <w:sz w:val="21"/>
          <w:szCs w:val="21"/>
          <w14:textFill>
            <w14:solidFill>
              <w14:schemeClr w14:val="tx1"/>
            </w14:solidFill>
          </w14:textFill>
        </w:rPr>
      </w:pPr>
      <w:r>
        <w:rPr>
          <w:rFonts w:hint="eastAsia" w:ascii="仿宋_GB2312" w:hAnsi="仿宋_GB2312" w:eastAsia="仿宋_GB2312" w:cs="仿宋_GB2312"/>
          <w:color w:val="000000" w:themeColor="text1"/>
          <w:sz w:val="21"/>
          <w:szCs w:val="21"/>
          <w14:textFill>
            <w14:solidFill>
              <w14:schemeClr w14:val="tx1"/>
            </w14:solidFill>
          </w14:textFill>
        </w:rPr>
        <w:t>日    期：202</w:t>
      </w:r>
      <w:r>
        <w:rPr>
          <w:rFonts w:hint="eastAsia" w:ascii="仿宋_GB2312" w:hAnsi="仿宋_GB2312" w:eastAsia="仿宋_GB2312" w:cs="仿宋_GB2312"/>
          <w:color w:val="000000" w:themeColor="text1"/>
          <w:sz w:val="21"/>
          <w:szCs w:val="21"/>
          <w:lang w:val="en-US" w:eastAsia="zh-CN"/>
          <w14:textFill>
            <w14:solidFill>
              <w14:schemeClr w14:val="tx1"/>
            </w14:solidFill>
          </w14:textFill>
        </w:rPr>
        <w:t>5</w:t>
      </w:r>
      <w:r>
        <w:rPr>
          <w:rFonts w:hint="eastAsia" w:ascii="仿宋_GB2312" w:hAnsi="仿宋_GB2312" w:eastAsia="仿宋_GB2312" w:cs="仿宋_GB2312"/>
          <w:color w:val="000000" w:themeColor="text1"/>
          <w:sz w:val="21"/>
          <w:szCs w:val="21"/>
          <w14:textFill>
            <w14:solidFill>
              <w14:schemeClr w14:val="tx1"/>
            </w14:solidFill>
          </w14:textFill>
        </w:rPr>
        <w:t>年  月  日</w:t>
      </w:r>
    </w:p>
    <w:p w14:paraId="6958C29E">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6A334546">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2BF12453">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596DA215">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51D4CD71">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12B26632">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0D657DF5">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6A0BB67D">
      <w:pPr>
        <w:pStyle w:val="8"/>
        <w:rPr>
          <w:rFonts w:hint="eastAsia" w:ascii="仿宋_GB2312" w:hAnsi="仿宋_GB2312" w:eastAsia="仿宋_GB2312" w:cs="仿宋_GB2312"/>
          <w:color w:val="000000" w:themeColor="text1"/>
          <w:sz w:val="21"/>
          <w:szCs w:val="21"/>
          <w14:textFill>
            <w14:solidFill>
              <w14:schemeClr w14:val="tx1"/>
            </w14:solidFill>
          </w14:textFill>
        </w:rPr>
      </w:pPr>
    </w:p>
    <w:p w14:paraId="6C9EBD66">
      <w:pPr>
        <w:bidi w:val="0"/>
        <w:rPr>
          <w:rFonts w:hint="eastAsia"/>
          <w:lang w:val="en-US" w:eastAsia="zh-CN"/>
        </w:rPr>
      </w:pPr>
      <w:r>
        <w:rPr>
          <w:rFonts w:hint="eastAsia"/>
          <w:lang w:val="en-US" w:eastAsia="zh-CN"/>
        </w:rPr>
        <w:t>7</w:t>
      </w:r>
      <w:r>
        <w:rPr>
          <w:rFonts w:hint="eastAsia"/>
        </w:rPr>
        <w:t>、</w:t>
      </w:r>
      <w:r>
        <w:rPr>
          <w:rFonts w:hint="eastAsia"/>
          <w:lang w:eastAsia="zh-CN"/>
        </w:rPr>
        <w:t>潜在供应商认为需要提供其他说明或相关资料</w:t>
      </w:r>
    </w:p>
    <w:p w14:paraId="5B93AAFF">
      <w:pPr>
        <w:spacing w:line="400" w:lineRule="exact"/>
        <w:rPr>
          <w:rFonts w:hint="eastAsia" w:ascii="仿宋_GB2312" w:hAnsi="仿宋_GB2312" w:eastAsia="仿宋_GB2312" w:cs="仿宋_GB2312"/>
          <w:color w:val="000000" w:themeColor="text1"/>
          <w:sz w:val="21"/>
          <w:szCs w:val="21"/>
          <w14:textFill>
            <w14:solidFill>
              <w14:schemeClr w14:val="tx1"/>
            </w14:solidFill>
          </w14:textFill>
        </w:rPr>
      </w:pPr>
    </w:p>
    <w:p w14:paraId="43E8D788">
      <w:pPr>
        <w:rPr>
          <w:color w:val="000000" w:themeColor="text1"/>
          <w14:textFill>
            <w14:solidFill>
              <w14:schemeClr w14:val="tx1"/>
            </w14:solidFill>
          </w14:textFill>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69590E">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5F3DB0">
                          <w:pPr>
                            <w:pStyle w:val="10"/>
                            <w:rPr>
                              <w:rFonts w:hint="eastAsia" w:ascii="仿宋" w:hAnsi="仿宋" w:eastAsia="仿宋" w:cs="仿宋"/>
                              <w:sz w:val="21"/>
                              <w:szCs w:val="32"/>
                            </w:rPr>
                          </w:pPr>
                          <w:r>
                            <w:rPr>
                              <w:rFonts w:hint="eastAsia" w:ascii="仿宋" w:hAnsi="仿宋" w:eastAsia="仿宋" w:cs="仿宋"/>
                              <w:sz w:val="21"/>
                              <w:szCs w:val="32"/>
                            </w:rPr>
                            <w:t xml:space="preserve">第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PAGE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1</w:t>
                          </w:r>
                          <w:r>
                            <w:rPr>
                              <w:rFonts w:hint="eastAsia" w:ascii="仿宋" w:hAnsi="仿宋" w:eastAsia="仿宋" w:cs="仿宋"/>
                              <w:sz w:val="21"/>
                              <w:szCs w:val="32"/>
                            </w:rPr>
                            <w:fldChar w:fldCharType="end"/>
                          </w:r>
                          <w:r>
                            <w:rPr>
                              <w:rFonts w:hint="eastAsia" w:ascii="仿宋" w:hAnsi="仿宋" w:eastAsia="仿宋" w:cs="仿宋"/>
                              <w:sz w:val="21"/>
                              <w:szCs w:val="32"/>
                            </w:rPr>
                            <w:t xml:space="preserve"> 页 共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NUMPAGES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9</w:t>
                          </w:r>
                          <w:r>
                            <w:rPr>
                              <w:rFonts w:hint="eastAsia" w:ascii="仿宋" w:hAnsi="仿宋" w:eastAsia="仿宋" w:cs="仿宋"/>
                              <w:sz w:val="21"/>
                              <w:szCs w:val="32"/>
                            </w:rPr>
                            <w:fldChar w:fldCharType="end"/>
                          </w:r>
                          <w:r>
                            <w:rPr>
                              <w:rFonts w:hint="eastAsia" w:ascii="仿宋" w:hAnsi="仿宋" w:eastAsia="仿宋" w:cs="仿宋"/>
                              <w:sz w:val="21"/>
                              <w:szCs w:val="32"/>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95F3DB0">
                    <w:pPr>
                      <w:pStyle w:val="10"/>
                      <w:rPr>
                        <w:rFonts w:hint="eastAsia" w:ascii="仿宋" w:hAnsi="仿宋" w:eastAsia="仿宋" w:cs="仿宋"/>
                        <w:sz w:val="21"/>
                        <w:szCs w:val="32"/>
                      </w:rPr>
                    </w:pPr>
                    <w:r>
                      <w:rPr>
                        <w:rFonts w:hint="eastAsia" w:ascii="仿宋" w:hAnsi="仿宋" w:eastAsia="仿宋" w:cs="仿宋"/>
                        <w:sz w:val="21"/>
                        <w:szCs w:val="32"/>
                      </w:rPr>
                      <w:t xml:space="preserve">第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PAGE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1</w:t>
                    </w:r>
                    <w:r>
                      <w:rPr>
                        <w:rFonts w:hint="eastAsia" w:ascii="仿宋" w:hAnsi="仿宋" w:eastAsia="仿宋" w:cs="仿宋"/>
                        <w:sz w:val="21"/>
                        <w:szCs w:val="32"/>
                      </w:rPr>
                      <w:fldChar w:fldCharType="end"/>
                    </w:r>
                    <w:r>
                      <w:rPr>
                        <w:rFonts w:hint="eastAsia" w:ascii="仿宋" w:hAnsi="仿宋" w:eastAsia="仿宋" w:cs="仿宋"/>
                        <w:sz w:val="21"/>
                        <w:szCs w:val="32"/>
                      </w:rPr>
                      <w:t xml:space="preserve"> 页 共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NUMPAGES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9</w:t>
                    </w:r>
                    <w:r>
                      <w:rPr>
                        <w:rFonts w:hint="eastAsia" w:ascii="仿宋" w:hAnsi="仿宋" w:eastAsia="仿宋" w:cs="仿宋"/>
                        <w:sz w:val="21"/>
                        <w:szCs w:val="32"/>
                      </w:rPr>
                      <w:fldChar w:fldCharType="end"/>
                    </w:r>
                    <w:r>
                      <w:rPr>
                        <w:rFonts w:hint="eastAsia" w:ascii="仿宋" w:hAnsi="仿宋" w:eastAsia="仿宋" w:cs="仿宋"/>
                        <w:sz w:val="21"/>
                        <w:szCs w:val="32"/>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41B32CFA"/>
    <w:multiLevelType w:val="singleLevel"/>
    <w:tmpl w:val="41B32CFA"/>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10D9A"/>
    <w:rsid w:val="08332F65"/>
    <w:rsid w:val="08EC086C"/>
    <w:rsid w:val="0CA4267D"/>
    <w:rsid w:val="0F287C86"/>
    <w:rsid w:val="11BA3663"/>
    <w:rsid w:val="1D7E40DE"/>
    <w:rsid w:val="20807415"/>
    <w:rsid w:val="21627873"/>
    <w:rsid w:val="2B0B7F50"/>
    <w:rsid w:val="2CA90A4C"/>
    <w:rsid w:val="2FB70453"/>
    <w:rsid w:val="2FF26266"/>
    <w:rsid w:val="3009031D"/>
    <w:rsid w:val="34880F47"/>
    <w:rsid w:val="365D08E9"/>
    <w:rsid w:val="3A7624F8"/>
    <w:rsid w:val="3C9E0AE4"/>
    <w:rsid w:val="50CE0E20"/>
    <w:rsid w:val="51776D26"/>
    <w:rsid w:val="51C86381"/>
    <w:rsid w:val="555130E5"/>
    <w:rsid w:val="566273F2"/>
    <w:rsid w:val="58972538"/>
    <w:rsid w:val="5A4968FF"/>
    <w:rsid w:val="61B15AAD"/>
    <w:rsid w:val="66082DB5"/>
    <w:rsid w:val="6EC24A7A"/>
    <w:rsid w:val="78DB6E64"/>
    <w:rsid w:val="79F60838"/>
    <w:rsid w:val="7BE57D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semiHidden="0" w:name="heading 2"/>
    <w:lsdException w:qFormat="1" w:unhideWhenUsed="0" w:uiPriority="99" w:semiHidden="0" w:name="heading 3"/>
    <w:lsdException w:qFormat="1" w:unhideWhenUsed="0" w:uiPriority="0"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qFormat/>
    <w:uiPriority w:val="99"/>
    <w:pPr>
      <w:keepNext/>
      <w:keepLines/>
      <w:spacing w:line="600" w:lineRule="exact"/>
      <w:ind w:firstLine="643" w:firstLineChars="200"/>
      <w:outlineLvl w:val="2"/>
    </w:pPr>
    <w:rPr>
      <w:b/>
      <w:bCs/>
      <w:sz w:val="32"/>
      <w:szCs w:val="32"/>
    </w:rPr>
  </w:style>
  <w:style w:type="paragraph" w:styleId="5">
    <w:name w:val="heading 4"/>
    <w:basedOn w:val="1"/>
    <w:next w:val="1"/>
    <w:qFormat/>
    <w:uiPriority w:val="0"/>
    <w:pPr>
      <w:keepNext/>
      <w:keepLines/>
      <w:spacing w:line="372" w:lineRule="auto"/>
      <w:outlineLvl w:val="3"/>
    </w:pPr>
    <w:rPr>
      <w:rFonts w:ascii="Arial" w:hAnsi="Arial" w:eastAsia="黑体"/>
      <w:b/>
      <w:bCs/>
      <w:sz w:val="28"/>
      <w:szCs w:val="28"/>
    </w:rPr>
  </w:style>
  <w:style w:type="paragraph" w:styleId="6">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7">
    <w:name w:val="Normal Indent"/>
    <w:basedOn w:val="1"/>
    <w:qFormat/>
    <w:uiPriority w:val="99"/>
    <w:pPr>
      <w:ind w:firstLine="420"/>
    </w:pPr>
    <w:rPr>
      <w:szCs w:val="20"/>
    </w:rPr>
  </w:style>
  <w:style w:type="paragraph" w:styleId="8">
    <w:name w:val="Body Text"/>
    <w:basedOn w:val="1"/>
    <w:qFormat/>
    <w:uiPriority w:val="99"/>
    <w:rPr>
      <w:szCs w:val="20"/>
    </w:rPr>
  </w:style>
  <w:style w:type="paragraph" w:styleId="9">
    <w:name w:val="Body Text Indent"/>
    <w:basedOn w:val="1"/>
    <w:qFormat/>
    <w:uiPriority w:val="0"/>
    <w:pPr>
      <w:ind w:firstLine="830" w:firstLineChars="352"/>
    </w:pPr>
    <w:rPr>
      <w:rFonts w:ascii="仿宋_GB2312" w:eastAsia="仿宋_GB2312"/>
      <w:kern w:val="0"/>
      <w:sz w:val="32"/>
      <w:szCs w:val="20"/>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qFormat/>
    <w:uiPriority w:val="99"/>
    <w:rPr>
      <w:sz w:val="28"/>
    </w:rPr>
  </w:style>
  <w:style w:type="table" w:styleId="14">
    <w:name w:val="Table Grid"/>
    <w:basedOn w:val="13"/>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b/>
    </w:rPr>
  </w:style>
  <w:style w:type="paragraph" w:customStyle="1" w:styleId="17">
    <w:name w:val="List Paragraph"/>
    <w:basedOn w:val="1"/>
    <w:autoRedefine/>
    <w:qFormat/>
    <w:uiPriority w:val="34"/>
    <w:pPr>
      <w:ind w:firstLine="420" w:firstLineChars="200"/>
    </w:pPr>
  </w:style>
  <w:style w:type="paragraph" w:customStyle="1" w:styleId="18">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6759</Words>
  <Characters>7430</Characters>
  <Lines>0</Lines>
  <Paragraphs>0</Paragraphs>
  <TotalTime>3</TotalTime>
  <ScaleCrop>false</ScaleCrop>
  <LinksUpToDate>false</LinksUpToDate>
  <CharactersWithSpaces>7562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2025-09-03T08:08:00Z</dcterms:created>
  <dc:creator>jj</dc:creator>
  <cp:lastModifiedBy>三金</cp:lastModifiedBy>
  <dcterms:modified xsi:type="dcterms:W3CDTF">2025-10-14T11:45:15Z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eyJoZGlkIjoiZjQ2ZThkMzZmMmE3OWFlODBjMmRkMTZjODA2OTZlM2UiLCJ1c2VySWQiOiIzOTY2MDUwNjEifQ==</vt:lpwstr>
  </property>
  <property fmtid="{D5CDD505-2E9C-101B-9397-08002B2CF9AE}" pid="4" name="ICV">
    <vt:lpwstr>427E103369294DBE87A1A07F33DBE7EE_12</vt:lpwstr>
  </property>
</Properties>
</file>