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47E69B">
      <w:pPr>
        <w:pStyle w:val="13"/>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9"/>
          <w:rFonts w:hint="eastAsia" w:ascii="Segoe UI" w:hAnsi="Segoe UI" w:cs="Segoe UI"/>
          <w:b/>
          <w:bCs/>
          <w:i w:val="0"/>
          <w:iCs w:val="0"/>
          <w:caps w:val="0"/>
          <w:color w:val="05073B"/>
          <w:spacing w:val="0"/>
          <w:sz w:val="22"/>
          <w:szCs w:val="22"/>
          <w:shd w:val="clear" w:color="auto" w:fill="FDFDFE"/>
          <w:lang w:eastAsia="zh-CN"/>
        </w:rPr>
        <w:t>贺州市中医医院关于广西黄姚古镇旅游文化产业区医院医疗</w:t>
      </w:r>
      <w:r>
        <w:rPr>
          <w:rStyle w:val="19"/>
          <w:rFonts w:hint="default" w:ascii="Segoe UI" w:hAnsi="Segoe UI" w:eastAsia="Segoe UI" w:cs="Segoe UI"/>
          <w:b/>
          <w:bCs/>
          <w:i w:val="0"/>
          <w:iCs w:val="0"/>
          <w:caps w:val="0"/>
          <w:color w:val="05073B"/>
          <w:spacing w:val="0"/>
          <w:sz w:val="22"/>
          <w:szCs w:val="22"/>
          <w:shd w:val="clear" w:color="auto" w:fill="FDFDFE"/>
        </w:rPr>
        <w:t>设备采购市场调研</w:t>
      </w:r>
      <w:r>
        <w:rPr>
          <w:rStyle w:val="19"/>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rPr>
          <w:rFonts w:hint="eastAsia"/>
        </w:rPr>
      </w:pPr>
      <w:r>
        <w:rPr>
          <w:rFonts w:hint="eastAsia"/>
        </w:rPr>
        <w:t>项目名称：</w:t>
      </w:r>
      <w:r>
        <w:rPr>
          <w:rStyle w:val="19"/>
          <w:rFonts w:hint="eastAsia" w:ascii="Segoe UI" w:hAnsi="Segoe UI" w:cs="Segoe UI"/>
          <w:b w:val="0"/>
          <w:bCs w:val="0"/>
          <w:i w:val="0"/>
          <w:iCs w:val="0"/>
          <w:caps w:val="0"/>
          <w:color w:val="05073B"/>
          <w:spacing w:val="0"/>
          <w:sz w:val="22"/>
          <w:szCs w:val="22"/>
          <w:shd w:val="clear" w:color="auto" w:fill="FDFDFE"/>
          <w:lang w:eastAsia="zh-CN"/>
        </w:rPr>
        <w:t>贺州市中医医院关于广西黄姚古镇旅游文化产业区医院医疗</w:t>
      </w:r>
      <w:r>
        <w:rPr>
          <w:rStyle w:val="19"/>
          <w:rFonts w:hint="default" w:ascii="Segoe UI" w:hAnsi="Segoe UI" w:eastAsia="Segoe UI" w:cs="Segoe UI"/>
          <w:b w:val="0"/>
          <w:bCs w:val="0"/>
          <w:i w:val="0"/>
          <w:iCs w:val="0"/>
          <w:caps w:val="0"/>
          <w:color w:val="05073B"/>
          <w:spacing w:val="0"/>
          <w:sz w:val="22"/>
          <w:szCs w:val="22"/>
          <w:shd w:val="clear" w:color="auto" w:fill="FDFDFE"/>
        </w:rPr>
        <w:t>设备采购</w:t>
      </w:r>
      <w:r>
        <w:rPr>
          <w:rFonts w:hint="eastAsia"/>
        </w:rPr>
        <w:t>项目</w:t>
      </w:r>
    </w:p>
    <w:tbl>
      <w:tblPr>
        <w:tblStyle w:val="16"/>
        <w:tblW w:w="9614" w:type="dxa"/>
        <w:tblInd w:w="0" w:type="dxa"/>
        <w:tblLayout w:type="fixed"/>
        <w:tblCellMar>
          <w:top w:w="0" w:type="dxa"/>
          <w:left w:w="0" w:type="dxa"/>
          <w:bottom w:w="0" w:type="dxa"/>
          <w:right w:w="0" w:type="dxa"/>
        </w:tblCellMar>
      </w:tblPr>
      <w:tblGrid>
        <w:gridCol w:w="704"/>
        <w:gridCol w:w="1200"/>
        <w:gridCol w:w="675"/>
        <w:gridCol w:w="6315"/>
        <w:gridCol w:w="720"/>
      </w:tblGrid>
      <w:tr w14:paraId="2512E27A">
        <w:tblPrEx>
          <w:tblCellMar>
            <w:top w:w="0" w:type="dxa"/>
            <w:left w:w="0" w:type="dxa"/>
            <w:bottom w:w="0" w:type="dxa"/>
            <w:right w:w="0" w:type="dxa"/>
          </w:tblCellMar>
        </w:tblPrEx>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4" w:space="0"/>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single" w:color="auto" w:sz="4" w:space="0"/>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lang w:val="en-US" w:eastAsia="zh-CN"/>
              </w:rPr>
              <w:t>无影灯</w:t>
            </w:r>
          </w:p>
        </w:tc>
        <w:tc>
          <w:tcPr>
            <w:tcW w:w="675" w:type="dxa"/>
            <w:tcBorders>
              <w:top w:val="nil"/>
              <w:left w:val="nil"/>
              <w:bottom w:val="single" w:color="auto" w:sz="4" w:space="0"/>
              <w:right w:val="single" w:color="auto" w:sz="6" w:space="0"/>
            </w:tcBorders>
            <w:shd w:val="clear" w:color="auto" w:fill="auto"/>
            <w:tcMar>
              <w:left w:w="105" w:type="dxa"/>
              <w:right w:w="105" w:type="dxa"/>
            </w:tcMar>
            <w:vAlign w:val="center"/>
          </w:tcPr>
          <w:p w14:paraId="01DE118B">
            <w:pPr>
              <w:rPr>
                <w:rFonts w:hint="eastAsia"/>
                <w:lang w:val="en-US" w:eastAsia="zh-CN"/>
              </w:rPr>
            </w:pPr>
            <w:r>
              <w:rPr>
                <w:rFonts w:hint="eastAsia"/>
                <w:lang w:val="en-US" w:eastAsia="zh-CN"/>
              </w:rPr>
              <w:t>2套</w:t>
            </w:r>
          </w:p>
        </w:tc>
        <w:tc>
          <w:tcPr>
            <w:tcW w:w="6315" w:type="dxa"/>
            <w:tcBorders>
              <w:top w:val="nil"/>
              <w:left w:val="nil"/>
              <w:bottom w:val="single" w:color="auto" w:sz="4" w:space="0"/>
              <w:right w:val="single" w:color="auto" w:sz="6" w:space="0"/>
            </w:tcBorders>
            <w:shd w:val="clear" w:color="auto" w:fill="auto"/>
            <w:tcMar>
              <w:left w:w="105" w:type="dxa"/>
              <w:right w:w="105" w:type="dxa"/>
            </w:tcMar>
            <w:vAlign w:val="center"/>
          </w:tcPr>
          <w:p w14:paraId="1EF3C2FD">
            <w:pPr>
              <w:rPr>
                <w:rFonts w:hint="eastAsia"/>
                <w:lang w:val="en-US" w:eastAsia="zh-CN"/>
              </w:rPr>
            </w:pPr>
            <w:r>
              <w:rPr>
                <w:rFonts w:hint="eastAsia"/>
              </w:rPr>
              <w:t>1.</w:t>
            </w:r>
            <w:r>
              <w:rPr>
                <w:rFonts w:hint="eastAsia"/>
                <w:lang w:val="en-US" w:eastAsia="zh-CN"/>
              </w:rPr>
              <w:t>大直径圆形灯头，所有光源均匀分布排列、无空隙，保证有效且稳定的均匀光斑；</w:t>
            </w:r>
          </w:p>
          <w:p w14:paraId="5529C43A">
            <w:pPr>
              <w:rPr>
                <w:rFonts w:hint="eastAsia"/>
                <w:lang w:val="en-US" w:eastAsia="zh-CN"/>
              </w:rPr>
            </w:pPr>
            <w:r>
              <w:rPr>
                <w:rFonts w:hint="eastAsia"/>
                <w:lang w:val="en-US" w:eastAsia="zh-CN"/>
              </w:rPr>
              <w:t>2、子母灯配置，超薄流线型设计，灯头边缘处不大于50mm，符合层流净化要求；母灯灯头外侧具备一体化环形扶手；（提供产品技术白皮书图片证明）</w:t>
            </w:r>
          </w:p>
          <w:p w14:paraId="6C368A28">
            <w:pPr>
              <w:rPr>
                <w:rFonts w:hint="eastAsia"/>
                <w:lang w:val="en-US" w:eastAsia="zh-CN"/>
              </w:rPr>
            </w:pPr>
            <w:r>
              <w:rPr>
                <w:rFonts w:hint="eastAsia"/>
                <w:lang w:val="en-US" w:eastAsia="zh-CN"/>
              </w:rPr>
              <w:t>3、采用双色LED光源（即冷白和暖白双色），并通过内部混合技术，使光更接近自然光，避免彩虹效应；</w:t>
            </w:r>
          </w:p>
          <w:p w14:paraId="5263050A">
            <w:pPr>
              <w:rPr>
                <w:rFonts w:hint="eastAsia"/>
                <w:lang w:val="en-US" w:eastAsia="zh-CN"/>
              </w:rPr>
            </w:pPr>
            <w:r>
              <w:rPr>
                <w:rFonts w:hint="eastAsia"/>
                <w:lang w:val="en-US" w:eastAsia="zh-CN"/>
              </w:rPr>
              <w:t>4、LED平均使用寿命大于60000小时；</w:t>
            </w:r>
          </w:p>
          <w:p w14:paraId="21F1A53A">
            <w:pPr>
              <w:rPr>
                <w:rFonts w:hint="eastAsia"/>
                <w:lang w:val="en-US" w:eastAsia="zh-CN"/>
              </w:rPr>
            </w:pPr>
            <w:r>
              <w:rPr>
                <w:rFonts w:hint="eastAsia"/>
                <w:lang w:val="en-US" w:eastAsia="zh-CN"/>
              </w:rPr>
              <w:t>5、灯罩壳为铝合金材质，有极佳的散热性，避免因塑料材质背壳降低灯头散热性能；</w:t>
            </w:r>
          </w:p>
          <w:p w14:paraId="02D8E607">
            <w:pPr>
              <w:rPr>
                <w:rFonts w:hint="eastAsia"/>
                <w:lang w:val="en-US" w:eastAsia="zh-CN"/>
              </w:rPr>
            </w:pPr>
            <w:r>
              <w:rPr>
                <w:rFonts w:hint="eastAsia"/>
                <w:lang w:val="en-US" w:eastAsia="zh-CN"/>
              </w:rPr>
              <w:t>6、灯罩面板采用PC材质，表面多层复合镀膜，坚固耐用，易擦洗消毒，耐酸碱腐蚀；</w:t>
            </w:r>
          </w:p>
          <w:p w14:paraId="44FCCE70">
            <w:pPr>
              <w:rPr>
                <w:rFonts w:hint="eastAsia"/>
                <w:lang w:val="en-US" w:eastAsia="zh-CN"/>
              </w:rPr>
            </w:pPr>
            <w:r>
              <w:rPr>
                <w:rFonts w:hint="eastAsia"/>
                <w:lang w:val="en-US" w:eastAsia="zh-CN"/>
              </w:rPr>
              <w:t>7、母灯采用140个以上LED光源,分为20个独立光源组；</w:t>
            </w:r>
          </w:p>
          <w:p w14:paraId="2D14556E">
            <w:pPr>
              <w:rPr>
                <w:rFonts w:hint="eastAsia"/>
                <w:lang w:val="en-US" w:eastAsia="zh-CN"/>
              </w:rPr>
            </w:pPr>
            <w:r>
              <w:rPr>
                <w:rFonts w:hint="eastAsia"/>
                <w:lang w:val="en-US" w:eastAsia="zh-CN"/>
              </w:rPr>
              <w:t>8、子灯采用60个以上LED光源，分为10个独立光源组；</w:t>
            </w:r>
          </w:p>
          <w:p w14:paraId="064D1D70">
            <w:pPr>
              <w:rPr>
                <w:rFonts w:hint="eastAsia"/>
                <w:lang w:val="en-US" w:eastAsia="zh-CN"/>
              </w:rPr>
            </w:pPr>
            <w:r>
              <w:rPr>
                <w:rFonts w:hint="eastAsia"/>
                <w:lang w:val="en-US" w:eastAsia="zh-CN"/>
              </w:rPr>
              <w:t>9、每组LED光源具有专门电路控制，任意一组失效时，无影灯应在5s内恢复照度，保证术中使用安全；（提供带有厂家公章的产品检测报告证明）</w:t>
            </w:r>
          </w:p>
          <w:p w14:paraId="6AFE741D">
            <w:pPr>
              <w:rPr>
                <w:rFonts w:hint="eastAsia"/>
                <w:lang w:val="en-US" w:eastAsia="zh-CN"/>
              </w:rPr>
            </w:pPr>
            <w:r>
              <w:rPr>
                <w:rFonts w:hint="eastAsia"/>
                <w:lang w:val="en-US" w:eastAsia="zh-CN"/>
              </w:rPr>
              <w:t>10、具有独立的绿色微创手术背景照明为内窥镜手术提供辅助照明，辅助照明可单独开启关闭，方便术中使用，照度不小于30Lux；</w:t>
            </w:r>
          </w:p>
          <w:p w14:paraId="2A868CC1">
            <w:pPr>
              <w:rPr>
                <w:rFonts w:hint="eastAsia"/>
                <w:lang w:val="en-US" w:eastAsia="zh-CN"/>
              </w:rPr>
            </w:pPr>
            <w:r>
              <w:rPr>
                <w:rFonts w:hint="eastAsia"/>
                <w:lang w:val="en-US" w:eastAsia="zh-CN"/>
              </w:rPr>
              <w:t>11、每个灯头配备脱卸式消毒手柄，能耐不低于134℃高温，符合医用蒸汽消毒要求；</w:t>
            </w:r>
          </w:p>
          <w:p w14:paraId="31EE336D">
            <w:pPr>
              <w:rPr>
                <w:rFonts w:hint="eastAsia"/>
                <w:lang w:val="en-US" w:eastAsia="zh-CN"/>
              </w:rPr>
            </w:pPr>
            <w:r>
              <w:rPr>
                <w:rFonts w:hint="eastAsia"/>
                <w:lang w:val="en-US" w:eastAsia="zh-CN"/>
              </w:rPr>
              <w:t>12、每个灯头的控制由独立控制面板调节，控制面板采用防水薄膜触控技术，为操作者提供便利并方便清洁消毒；</w:t>
            </w:r>
          </w:p>
          <w:p w14:paraId="60738F85">
            <w:pPr>
              <w:rPr>
                <w:rFonts w:hint="eastAsia"/>
                <w:lang w:val="en-US" w:eastAsia="zh-CN"/>
              </w:rPr>
            </w:pPr>
            <w:r>
              <w:rPr>
                <w:rFonts w:hint="eastAsia"/>
                <w:lang w:val="en-US" w:eastAsia="zh-CN"/>
              </w:rPr>
              <w:t>13、具备纳米银抗菌涂层，对大肠杆菌、金黄色葡萄球菌具有杀菌抑菌作用，抗菌率达99.9％；（提供由带有无影灯厂家名称的权威检测机构中文版检测报告证明）</w:t>
            </w:r>
          </w:p>
          <w:p w14:paraId="27D1543D">
            <w:pPr>
              <w:rPr>
                <w:rFonts w:hint="eastAsia"/>
                <w:lang w:val="en-US" w:eastAsia="zh-CN"/>
              </w:rPr>
            </w:pPr>
            <w:r>
              <w:rPr>
                <w:rFonts w:hint="eastAsia"/>
                <w:lang w:val="en-US" w:eastAsia="zh-CN"/>
              </w:rPr>
              <w:t>14、灯头防尘防水等级≥IP54；（提供带有厂家公章的产品检测报告证明）</w:t>
            </w:r>
          </w:p>
          <w:p w14:paraId="41390B53">
            <w:pPr>
              <w:rPr>
                <w:rFonts w:hint="eastAsia"/>
                <w:lang w:val="en-US" w:eastAsia="zh-CN"/>
              </w:rPr>
            </w:pPr>
            <w:r>
              <w:rPr>
                <w:rFonts w:hint="eastAsia"/>
                <w:lang w:val="en-US" w:eastAsia="zh-CN"/>
              </w:rPr>
              <w:t xml:space="preserve">15、灯头直径：母灯≥700mm； </w:t>
            </w:r>
          </w:p>
          <w:p w14:paraId="14C69629">
            <w:pPr>
              <w:rPr>
                <w:rFonts w:hint="eastAsia"/>
                <w:lang w:val="en-US" w:eastAsia="zh-CN"/>
              </w:rPr>
            </w:pPr>
            <w:r>
              <w:rPr>
                <w:rFonts w:hint="eastAsia"/>
                <w:lang w:val="en-US" w:eastAsia="zh-CN"/>
              </w:rPr>
              <w:t xml:space="preserve">16、灯头直径：子灯≥500mm； </w:t>
            </w:r>
          </w:p>
          <w:p w14:paraId="0A343C95">
            <w:pPr>
              <w:rPr>
                <w:rFonts w:hint="eastAsia"/>
                <w:lang w:val="en-US" w:eastAsia="zh-CN"/>
              </w:rPr>
            </w:pPr>
            <w:r>
              <w:rPr>
                <w:rFonts w:hint="eastAsia"/>
                <w:lang w:val="en-US" w:eastAsia="zh-CN"/>
              </w:rPr>
              <w:t>17、母灯最大照度160,000 Lux（提供带有厂家公章的产品检测报告证明）</w:t>
            </w:r>
          </w:p>
          <w:p w14:paraId="0E13211A">
            <w:pPr>
              <w:rPr>
                <w:rFonts w:hint="eastAsia"/>
                <w:lang w:val="en-US" w:eastAsia="zh-CN"/>
              </w:rPr>
            </w:pPr>
            <w:r>
              <w:rPr>
                <w:rFonts w:hint="eastAsia"/>
                <w:lang w:val="en-US" w:eastAsia="zh-CN"/>
              </w:rPr>
              <w:t>18、子灯最大照度160,000 Lux；（提供带有厂家公章的产品检测报告证明）</w:t>
            </w:r>
          </w:p>
          <w:p w14:paraId="3D1DE37F">
            <w:pPr>
              <w:rPr>
                <w:rFonts w:hint="eastAsia"/>
                <w:lang w:val="en-US" w:eastAsia="zh-CN"/>
              </w:rPr>
            </w:pPr>
            <w:r>
              <w:rPr>
                <w:rFonts w:hint="eastAsia"/>
                <w:lang w:val="en-US" w:eastAsia="zh-CN"/>
              </w:rPr>
              <w:t>19、色温十级可调，调节范围3000-5800K；（提供厂家公章的产品检测报告证明）</w:t>
            </w:r>
          </w:p>
          <w:p w14:paraId="5C63C7FF">
            <w:pPr>
              <w:rPr>
                <w:rFonts w:hint="eastAsia"/>
                <w:lang w:val="en-US" w:eastAsia="zh-CN"/>
              </w:rPr>
            </w:pPr>
            <w:r>
              <w:rPr>
                <w:rFonts w:hint="eastAsia"/>
                <w:lang w:val="en-US" w:eastAsia="zh-CN"/>
              </w:rPr>
              <w:t>20、显色指数Ra≥97；</w:t>
            </w:r>
          </w:p>
          <w:p w14:paraId="581624BF">
            <w:pPr>
              <w:rPr>
                <w:rFonts w:hint="eastAsia"/>
                <w:lang w:val="en-US" w:eastAsia="zh-CN"/>
              </w:rPr>
            </w:pPr>
            <w:r>
              <w:rPr>
                <w:rFonts w:hint="eastAsia"/>
                <w:lang w:val="en-US" w:eastAsia="zh-CN"/>
              </w:rPr>
              <w:t>21、显色指数R9≥96</w:t>
            </w:r>
            <w:bookmarkStart w:id="6" w:name="_GoBack"/>
            <w:bookmarkEnd w:id="6"/>
            <w:r>
              <w:rPr>
                <w:rFonts w:hint="eastAsia"/>
                <w:lang w:val="en-US" w:eastAsia="zh-CN"/>
              </w:rPr>
              <w:t>；</w:t>
            </w:r>
          </w:p>
          <w:p w14:paraId="006A8E02">
            <w:pPr>
              <w:rPr>
                <w:rFonts w:hint="eastAsia"/>
                <w:lang w:val="en-US" w:eastAsia="zh-CN"/>
              </w:rPr>
            </w:pPr>
            <w:r>
              <w:rPr>
                <w:rFonts w:hint="eastAsia"/>
                <w:lang w:val="en-US" w:eastAsia="zh-CN"/>
              </w:rPr>
              <w:t>22、光斑直径可调，调节范围：母灯160mm-350mm，子灯160mm-250mm；</w:t>
            </w:r>
          </w:p>
          <w:p w14:paraId="1C12C3CA">
            <w:pPr>
              <w:rPr>
                <w:rFonts w:hint="eastAsia"/>
                <w:lang w:val="en-US" w:eastAsia="zh-CN"/>
              </w:rPr>
            </w:pPr>
            <w:r>
              <w:rPr>
                <w:rFonts w:hint="eastAsia"/>
                <w:lang w:val="en-US" w:eastAsia="zh-CN"/>
              </w:rPr>
              <w:t>23、照明深度≥1600mm；（提供带有厂家公章的产品检测报告证明）</w:t>
            </w:r>
          </w:p>
          <w:p w14:paraId="115EFF30">
            <w:pPr>
              <w:rPr>
                <w:rFonts w:hint="eastAsia"/>
                <w:lang w:val="en-US" w:eastAsia="zh-CN"/>
              </w:rPr>
            </w:pPr>
            <w:r>
              <w:rPr>
                <w:rFonts w:hint="eastAsia"/>
                <w:lang w:val="en-US" w:eastAsia="zh-CN"/>
              </w:rPr>
              <w:t>24、十级亮度调节，调节范围：25%-100%；</w:t>
            </w:r>
          </w:p>
          <w:p w14:paraId="246C8B8A">
            <w:pPr>
              <w:rPr>
                <w:rFonts w:hint="eastAsia"/>
                <w:lang w:val="en-US" w:eastAsia="zh-CN"/>
              </w:rPr>
            </w:pPr>
            <w:r>
              <w:rPr>
                <w:rFonts w:hint="eastAsia"/>
                <w:lang w:val="en-US" w:eastAsia="zh-CN"/>
              </w:rPr>
              <w:t>25、手术创面温升≤2℃；术者头部温升≤2℃；</w:t>
            </w:r>
          </w:p>
          <w:p w14:paraId="59EA18B2">
            <w:pPr>
              <w:rPr>
                <w:rFonts w:hint="eastAsia"/>
                <w:lang w:val="en-US" w:eastAsia="zh-CN"/>
              </w:rPr>
            </w:pPr>
          </w:p>
        </w:tc>
        <w:tc>
          <w:tcPr>
            <w:tcW w:w="720" w:type="dxa"/>
            <w:tcBorders>
              <w:top w:val="nil"/>
              <w:left w:val="nil"/>
              <w:bottom w:val="single" w:color="auto" w:sz="4" w:space="0"/>
              <w:right w:val="single" w:color="auto" w:sz="6" w:space="0"/>
            </w:tcBorders>
            <w:shd w:val="clear" w:color="auto" w:fill="auto"/>
            <w:tcMar>
              <w:left w:w="105" w:type="dxa"/>
              <w:right w:w="105" w:type="dxa"/>
            </w:tcMar>
            <w:vAlign w:val="center"/>
          </w:tcPr>
          <w:p w14:paraId="028D4D37">
            <w:pPr>
              <w:spacing w:line="400" w:lineRule="exact"/>
              <w:ind w:firstLine="420" w:firstLineChars="200"/>
              <w:rPr>
                <w:rFonts w:hint="default" w:eastAsiaTheme="minorEastAsia"/>
                <w:lang w:val="en-US" w:eastAsia="zh-CN"/>
              </w:rPr>
            </w:pPr>
            <w:r>
              <w:rPr>
                <w:rFonts w:hint="eastAsia"/>
                <w:lang w:val="en-US" w:eastAsia="zh-CN"/>
              </w:rPr>
              <w:t>1.</w:t>
            </w:r>
            <w:r>
              <w:rPr>
                <w:rFonts w:hint="eastAsia"/>
                <w:lang w:eastAsia="zh-CN"/>
              </w:rPr>
              <w:t>该参数仅作为统一参数表述口径，不作为最终招标参数；</w:t>
            </w:r>
            <w:r>
              <w:rPr>
                <w:rFonts w:hint="eastAsia"/>
                <w:lang w:val="en-US" w:eastAsia="zh-CN"/>
              </w:rPr>
              <w:t>2.出现的品牌仅作为参考。</w:t>
            </w:r>
          </w:p>
        </w:tc>
      </w:tr>
      <w:tr w14:paraId="5A073C8E">
        <w:tblPrEx>
          <w:tblCellMar>
            <w:top w:w="0" w:type="dxa"/>
            <w:left w:w="0" w:type="dxa"/>
            <w:bottom w:w="0" w:type="dxa"/>
            <w:right w:w="0" w:type="dxa"/>
          </w:tblCellMar>
        </w:tblPrEx>
        <w:trPr>
          <w:trHeight w:val="822" w:hRule="atLeast"/>
        </w:trPr>
        <w:tc>
          <w:tcPr>
            <w:tcW w:w="704"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1DEBBC29">
            <w:pPr>
              <w:spacing w:line="400" w:lineRule="exact"/>
              <w:jc w:val="center"/>
              <w:rPr>
                <w:rFonts w:hint="eastAsia" w:eastAsiaTheme="minorEastAsia"/>
                <w:lang w:val="en-US" w:eastAsia="zh-CN"/>
              </w:rPr>
            </w:pPr>
            <w:r>
              <w:rPr>
                <w:rFonts w:hint="eastAsia"/>
                <w:lang w:val="en-US" w:eastAsia="zh-CN"/>
              </w:rPr>
              <w:t>2</w:t>
            </w:r>
          </w:p>
        </w:tc>
        <w:tc>
          <w:tcPr>
            <w:tcW w:w="1200"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2DF12A67">
            <w:pPr>
              <w:spacing w:line="400" w:lineRule="exact"/>
              <w:jc w:val="center"/>
              <w:rPr>
                <w:rFonts w:hint="default" w:eastAsiaTheme="minorEastAsia"/>
                <w:lang w:val="en-US" w:eastAsia="zh-CN"/>
              </w:rPr>
            </w:pPr>
            <w:r>
              <w:rPr>
                <w:rFonts w:hint="eastAsia"/>
                <w:lang w:val="en-US" w:eastAsia="zh-CN"/>
              </w:rPr>
              <w:t>麻醉塔+外科塔</w:t>
            </w:r>
          </w:p>
        </w:tc>
        <w:tc>
          <w:tcPr>
            <w:tcW w:w="675"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4D6E054C">
            <w:pPr>
              <w:spacing w:line="400" w:lineRule="exact"/>
              <w:jc w:val="center"/>
              <w:rPr>
                <w:rFonts w:hint="eastAsia" w:eastAsiaTheme="minorEastAsia"/>
                <w:lang w:val="en-US" w:eastAsia="zh-CN"/>
              </w:rPr>
            </w:pPr>
            <w:r>
              <w:rPr>
                <w:rFonts w:hint="eastAsia"/>
                <w:lang w:val="en-US" w:eastAsia="zh-CN"/>
              </w:rPr>
              <w:t>2套</w:t>
            </w:r>
          </w:p>
        </w:tc>
        <w:tc>
          <w:tcPr>
            <w:tcW w:w="6315"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1583DF77">
            <w:pPr>
              <w:rPr>
                <w:rFonts w:hint="eastAsia" w:eastAsiaTheme="minorEastAsia"/>
                <w:lang w:eastAsia="zh-CN"/>
              </w:rPr>
            </w:pPr>
            <w:r>
              <w:rPr>
                <w:rFonts w:hint="eastAsia"/>
                <w:lang w:eastAsia="zh-CN"/>
              </w:rPr>
              <w:t>一、麻醉塔</w:t>
            </w:r>
          </w:p>
          <w:p w14:paraId="48DEB6AC">
            <w:pPr>
              <w:rPr>
                <w:rFonts w:hint="eastAsia"/>
              </w:rPr>
            </w:pPr>
            <w:r>
              <w:rPr>
                <w:rFonts w:hint="eastAsia"/>
              </w:rPr>
              <w:t>1.投标吊塔产品必须通过CE认证，必须为Ⅱ类医疗器械认证；CE没有按医疗器械</w:t>
            </w:r>
          </w:p>
          <w:p w14:paraId="1767184F">
            <w:pPr>
              <w:rPr>
                <w:rFonts w:hint="eastAsia"/>
              </w:rPr>
            </w:pPr>
            <w:r>
              <w:rPr>
                <w:rFonts w:hint="eastAsia"/>
              </w:rPr>
              <w:t>认证或按Ⅰ类医疗器械认证的无效。</w:t>
            </w:r>
          </w:p>
          <w:p w14:paraId="228B5BE1">
            <w:pPr>
              <w:rPr>
                <w:rFonts w:hint="eastAsia"/>
              </w:rPr>
            </w:pPr>
            <w:r>
              <w:rPr>
                <w:rFonts w:hint="eastAsia"/>
              </w:rPr>
              <w:t>2.产品符合国家标准GB9706.1《医用电·气设备第1部分：安全通用要求》</w:t>
            </w:r>
          </w:p>
          <w:p w14:paraId="57BEF4DD">
            <w:pPr>
              <w:rPr>
                <w:rFonts w:hint="eastAsia"/>
              </w:rPr>
            </w:pPr>
            <w:r>
              <w:rPr>
                <w:rFonts w:hint="eastAsia"/>
              </w:rPr>
              <w:t>3.产品符合国际标准ISO11197、IEC60601-1、IEC60601-1-2。</w:t>
            </w:r>
          </w:p>
          <w:p w14:paraId="2BC1CC39">
            <w:pPr>
              <w:rPr>
                <w:rFonts w:hint="eastAsia"/>
              </w:rPr>
            </w:pPr>
            <w:r>
              <w:rPr>
                <w:rFonts w:hint="eastAsia"/>
              </w:rPr>
              <w:t>4.主体材料为高强度、耐腐蚀的铝合金型材,材料为6005，状态为T6</w:t>
            </w:r>
          </w:p>
          <w:p w14:paraId="27F6E84B">
            <w:pPr>
              <w:rPr>
                <w:rFonts w:hint="eastAsia"/>
              </w:rPr>
            </w:pPr>
            <w:r>
              <w:rPr>
                <w:rFonts w:hint="eastAsia"/>
              </w:rPr>
              <w:t>5.吊塔表面采用静电喷涂工艺，涂料具有抗菌功能，根据ISO22196:2011标准，表</w:t>
            </w:r>
          </w:p>
          <w:p w14:paraId="502E1E64">
            <w:pPr>
              <w:rPr>
                <w:rFonts w:hint="eastAsia"/>
              </w:rPr>
            </w:pPr>
            <w:r>
              <w:rPr>
                <w:rFonts w:hint="eastAsia"/>
              </w:rPr>
              <w:t>面对大肠杆菌、金黄色葡萄球菌抗菌率达99.9%，</w:t>
            </w:r>
          </w:p>
          <w:p w14:paraId="527EA29E">
            <w:pPr>
              <w:rPr>
                <w:rFonts w:hint="eastAsia"/>
              </w:rPr>
            </w:pPr>
            <w:r>
              <w:rPr>
                <w:rFonts w:hint="eastAsia"/>
              </w:rPr>
              <w:t>6.吊塔在300Kg负载下，旋转寿命达到10万次，测试后吊塔仍然可以正常旋转。</w:t>
            </w:r>
          </w:p>
          <w:p w14:paraId="282A78FF">
            <w:pPr>
              <w:rPr>
                <w:rFonts w:hint="eastAsia"/>
              </w:rPr>
            </w:pPr>
            <w:r>
              <w:rPr>
                <w:rFonts w:hint="eastAsia"/>
              </w:rPr>
              <w:t>提供国际权威第三方检测和认证机构对吊塔整机进行的《预期使用寿命测试报告》。</w:t>
            </w:r>
          </w:p>
          <w:p w14:paraId="015E44B7">
            <w:pPr>
              <w:rPr>
                <w:rFonts w:hint="eastAsia"/>
              </w:rPr>
            </w:pPr>
            <w:r>
              <w:rPr>
                <w:rFonts w:hint="eastAsia"/>
              </w:rPr>
              <w:t>（由于吊塔具有旋转臂，受力极端，对于只对轴承或转轴进行的检测无效）</w:t>
            </w:r>
          </w:p>
          <w:p w14:paraId="33BB1520">
            <w:pPr>
              <w:rPr>
                <w:rFonts w:hint="eastAsia"/>
              </w:rPr>
            </w:pPr>
            <w:r>
              <w:rPr>
                <w:rFonts w:hint="eastAsia"/>
              </w:rPr>
              <w:t>7.为确保安全，吊塔必须符合气、电分离的标准。</w:t>
            </w:r>
          </w:p>
          <w:p w14:paraId="138412D9">
            <w:pPr>
              <w:rPr>
                <w:rFonts w:hint="eastAsia"/>
              </w:rPr>
            </w:pPr>
            <w:r>
              <w:rPr>
                <w:rFonts w:hint="eastAsia"/>
              </w:rPr>
              <w:t>8.吊塔防护等级应符合GB4208-2017标准中IP40的规定</w:t>
            </w:r>
          </w:p>
          <w:p w14:paraId="3DF7C1C4">
            <w:pPr>
              <w:rPr>
                <w:rFonts w:hint="eastAsia"/>
              </w:rPr>
            </w:pPr>
            <w:r>
              <w:rPr>
                <w:rFonts w:hint="eastAsia"/>
              </w:rPr>
              <w:t>9.吊塔需做动态试验，经冲击试验后，带电部件应不可触及，各类终端应符合要求，存在的保护装置应保持完整。</w:t>
            </w:r>
          </w:p>
          <w:p w14:paraId="1642B37D">
            <w:pPr>
              <w:rPr>
                <w:rFonts w:hint="eastAsia"/>
                <w:lang w:eastAsia="zh-CN"/>
              </w:rPr>
            </w:pPr>
            <w:r>
              <w:rPr>
                <w:rFonts w:hint="eastAsia"/>
              </w:rPr>
              <w:t>10.吊塔内气管必须为进口医用专业气管，产品符合ISO7396、ISO5359标准要求</w:t>
            </w:r>
            <w:r>
              <w:rPr>
                <w:rFonts w:hint="eastAsia"/>
                <w:lang w:eastAsia="zh-CN"/>
              </w:rPr>
              <w:t>。</w:t>
            </w:r>
          </w:p>
          <w:p w14:paraId="185193B9">
            <w:pPr>
              <w:rPr>
                <w:rFonts w:hint="eastAsia"/>
              </w:rPr>
            </w:pPr>
            <w:r>
              <w:rPr>
                <w:rFonts w:hint="eastAsia"/>
              </w:rPr>
              <w:t>11.气体终端要求：颜色以及形状不同，防误插，具有Standby（原位待接通状态）功能，插拔次数≥20000次。</w:t>
            </w:r>
          </w:p>
          <w:p w14:paraId="419F438F">
            <w:pPr>
              <w:rPr>
                <w:rFonts w:hint="eastAsia"/>
              </w:rPr>
            </w:pPr>
            <w:r>
              <w:rPr>
                <w:rFonts w:hint="eastAsia"/>
              </w:rPr>
              <w:t>12.气电供应柱采用气电模块化设计，气体模块和电气模块可单独更换，供应柱由多个气电模块单元构成，产品安装后仍然可方便改变气、电位置或增加配置</w:t>
            </w:r>
          </w:p>
          <w:p w14:paraId="7506E3AB">
            <w:pPr>
              <w:rPr>
                <w:rFonts w:hint="eastAsia"/>
              </w:rPr>
            </w:pPr>
            <w:r>
              <w:rPr>
                <w:rFonts w:hint="eastAsia"/>
              </w:rPr>
              <w:t>13.气电供应柱为四面结构，四面均可安装仪器平台和附件。8条竖直内藏式导轨可以固定仪器平台及其它附件。</w:t>
            </w:r>
          </w:p>
          <w:p w14:paraId="274A4A2F">
            <w:pPr>
              <w:rPr>
                <w:rFonts w:hint="eastAsia"/>
              </w:rPr>
            </w:pPr>
            <w:r>
              <w:rPr>
                <w:rFonts w:hint="eastAsia"/>
              </w:rPr>
              <w:t>14.供应柱用来固定托盘和其它附件的导轨采用内藏式导轨，非外漏式的T型导轨。</w:t>
            </w:r>
          </w:p>
          <w:p w14:paraId="1586DC1D">
            <w:pPr>
              <w:rPr>
                <w:rFonts w:hint="eastAsia"/>
              </w:rPr>
            </w:pPr>
            <w:r>
              <w:rPr>
                <w:rFonts w:hint="eastAsia"/>
              </w:rPr>
              <w:t>15.仪器平台材料为铝合金材质，非钢板或者塑料材质。</w:t>
            </w:r>
          </w:p>
          <w:p w14:paraId="37F04D2D">
            <w:pPr>
              <w:rPr>
                <w:rFonts w:hint="eastAsia"/>
              </w:rPr>
            </w:pPr>
            <w:r>
              <w:rPr>
                <w:rFonts w:hint="eastAsia"/>
              </w:rPr>
              <w:t>16.仪器平台承重≥100kg,抽屉承重≥30kg同时承重需4倍承重测试</w:t>
            </w:r>
          </w:p>
          <w:p w14:paraId="0041E969">
            <w:pPr>
              <w:rPr>
                <w:rFonts w:hint="eastAsia"/>
              </w:rPr>
            </w:pPr>
            <w:r>
              <w:rPr>
                <w:rFonts w:hint="eastAsia"/>
              </w:rPr>
              <w:t>17.抽屉为铝合金材质，为确保承重和经久耐用，不得采用塑料材料。抽屉必须具有自回弹功能。</w:t>
            </w:r>
          </w:p>
          <w:p w14:paraId="0EA159D2">
            <w:pPr>
              <w:rPr>
                <w:rFonts w:hint="eastAsia"/>
              </w:rPr>
            </w:pPr>
            <w:r>
              <w:rPr>
                <w:rFonts w:hint="eastAsia"/>
              </w:rPr>
              <w:t>18.各回转机构旋转角度≥350°，转动范围应能够覆盖病人所需区域，并配备旋转限位装置。</w:t>
            </w:r>
          </w:p>
          <w:p w14:paraId="79A25B4D">
            <w:pPr>
              <w:rPr>
                <w:rFonts w:hint="eastAsia"/>
              </w:rPr>
            </w:pPr>
            <w:r>
              <w:rPr>
                <w:rFonts w:hint="eastAsia"/>
              </w:rPr>
              <w:t>19.外壳防火等级不小于UL94-V0级。</w:t>
            </w:r>
          </w:p>
          <w:p w14:paraId="325267FA">
            <w:pPr>
              <w:rPr>
                <w:rFonts w:hint="eastAsia"/>
              </w:rPr>
            </w:pPr>
            <w:r>
              <w:rPr>
                <w:rFonts w:hint="eastAsia"/>
              </w:rPr>
              <w:t>20.产品经过抗地震实验，抗震级别满足抗震8级性能要求。提供专业第三方试验报告。</w:t>
            </w:r>
          </w:p>
          <w:p w14:paraId="204FDCC7">
            <w:pPr>
              <w:rPr>
                <w:rFonts w:hint="eastAsia"/>
              </w:rPr>
            </w:pPr>
            <w:r>
              <w:rPr>
                <w:rFonts w:hint="eastAsia"/>
              </w:rPr>
              <w:t>21.吊塔基座应经载荷试验，基座安装在模拟楼板试验，扭矩载荷12000Nm时基座</w:t>
            </w:r>
          </w:p>
          <w:p w14:paraId="6537401D">
            <w:pPr>
              <w:rPr>
                <w:rFonts w:hint="eastAsia"/>
              </w:rPr>
            </w:pPr>
            <w:r>
              <w:rPr>
                <w:rFonts w:hint="eastAsia"/>
              </w:rPr>
              <w:t>法兰变形≤0.3°，扭矩载荷24000Nm时基座法兰变形≤1.5°。</w:t>
            </w:r>
          </w:p>
          <w:p w14:paraId="73D1EE97">
            <w:pPr>
              <w:rPr>
                <w:rFonts w:hint="eastAsia"/>
              </w:rPr>
            </w:pPr>
            <w:r>
              <w:rPr>
                <w:rFonts w:hint="eastAsia"/>
              </w:rPr>
              <w:t>22.为保证吊塔耐腐蚀性，应按国家标准GB/T2423.18进行盐雾试验，试验结束后产</w:t>
            </w:r>
          </w:p>
          <w:p w14:paraId="3848DF05">
            <w:pPr>
              <w:rPr>
                <w:rFonts w:hint="eastAsia"/>
              </w:rPr>
            </w:pPr>
            <w:r>
              <w:rPr>
                <w:rFonts w:hint="eastAsia"/>
              </w:rPr>
              <w:t>品应无损伤，无可见锈痕</w:t>
            </w:r>
          </w:p>
          <w:p w14:paraId="33942265">
            <w:pPr>
              <w:rPr>
                <w:rFonts w:hint="eastAsia"/>
              </w:rPr>
            </w:pPr>
            <w:r>
              <w:rPr>
                <w:rFonts w:hint="eastAsia"/>
              </w:rPr>
              <w:t>23.为了保证产品运输安全，产品外包装须经冲击试验</w:t>
            </w:r>
          </w:p>
          <w:p w14:paraId="02D3B4D3">
            <w:pPr>
              <w:rPr>
                <w:rFonts w:hint="eastAsia"/>
              </w:rPr>
            </w:pPr>
            <w:r>
              <w:rPr>
                <w:rFonts w:hint="eastAsia"/>
              </w:rPr>
              <w:t>24.气密性要求：医用吊塔、吊桥气体管道系统，0.6MPa气压保压24小时，压降</w:t>
            </w:r>
          </w:p>
          <w:p w14:paraId="19642548">
            <w:pPr>
              <w:rPr>
                <w:rFonts w:hint="eastAsia"/>
              </w:rPr>
            </w:pPr>
            <w:r>
              <w:rPr>
                <w:rFonts w:hint="eastAsia"/>
              </w:rPr>
              <w:t>≤0.5%/h。</w:t>
            </w:r>
          </w:p>
          <w:p w14:paraId="74A986C0">
            <w:pPr>
              <w:numPr>
                <w:ilvl w:val="0"/>
                <w:numId w:val="1"/>
              </w:numPr>
              <w:rPr>
                <w:rFonts w:hint="eastAsia"/>
                <w:lang w:val="en-US" w:eastAsia="zh-CN"/>
              </w:rPr>
            </w:pPr>
            <w:r>
              <w:rPr>
                <w:rFonts w:hint="eastAsia"/>
                <w:lang w:val="en-US" w:eastAsia="zh-CN"/>
              </w:rPr>
              <w:t>吊塔额定承重不小于300kg，同时经4倍承重测试。</w:t>
            </w:r>
          </w:p>
          <w:p w14:paraId="28E7078A">
            <w:pPr>
              <w:numPr>
                <w:ilvl w:val="0"/>
                <w:numId w:val="0"/>
              </w:numPr>
              <w:rPr>
                <w:rFonts w:hint="eastAsia"/>
                <w:lang w:val="en-US" w:eastAsia="zh-CN"/>
              </w:rPr>
            </w:pPr>
          </w:p>
          <w:p w14:paraId="15CDB004">
            <w:pPr>
              <w:numPr>
                <w:ilvl w:val="0"/>
                <w:numId w:val="2"/>
              </w:numPr>
              <w:rPr>
                <w:rFonts w:hint="eastAsia"/>
                <w:lang w:val="en-US" w:eastAsia="zh-CN"/>
              </w:rPr>
            </w:pPr>
            <w:r>
              <w:rPr>
                <w:rFonts w:hint="eastAsia"/>
                <w:lang w:val="en-US" w:eastAsia="zh-CN"/>
              </w:rPr>
              <w:t>外科塔</w:t>
            </w:r>
          </w:p>
          <w:p w14:paraId="6FD2CC1A">
            <w:pPr>
              <w:rPr>
                <w:rFonts w:hint="eastAsia"/>
              </w:rPr>
            </w:pPr>
            <w:r>
              <w:rPr>
                <w:rFonts w:hint="eastAsia"/>
              </w:rPr>
              <w:t>1.投标吊塔产品必须通过CE认证，必须为Ⅱ类医疗器械认证；CE没有按医疗器械</w:t>
            </w:r>
          </w:p>
          <w:p w14:paraId="1450D401">
            <w:pPr>
              <w:rPr>
                <w:rFonts w:hint="eastAsia"/>
              </w:rPr>
            </w:pPr>
            <w:r>
              <w:rPr>
                <w:rFonts w:hint="eastAsia"/>
              </w:rPr>
              <w:t>认证或按Ⅰ类医疗器械认证的无效。</w:t>
            </w:r>
          </w:p>
          <w:p w14:paraId="6107B8C8">
            <w:pPr>
              <w:rPr>
                <w:rFonts w:hint="eastAsia"/>
              </w:rPr>
            </w:pPr>
            <w:r>
              <w:rPr>
                <w:rFonts w:hint="eastAsia"/>
              </w:rPr>
              <w:t>2.产品符合国家标准GB9706.1《医用电·气设备第1部分：安全通用要求》</w:t>
            </w:r>
          </w:p>
          <w:p w14:paraId="562777E6">
            <w:pPr>
              <w:rPr>
                <w:rFonts w:hint="eastAsia"/>
              </w:rPr>
            </w:pPr>
            <w:r>
              <w:rPr>
                <w:rFonts w:hint="eastAsia"/>
              </w:rPr>
              <w:t>3.产品符合国际标准ISO11197、IEC60601-1、IEC60601-1-2。</w:t>
            </w:r>
          </w:p>
          <w:p w14:paraId="0FAFD494">
            <w:pPr>
              <w:rPr>
                <w:rFonts w:hint="eastAsia"/>
              </w:rPr>
            </w:pPr>
            <w:r>
              <w:rPr>
                <w:rFonts w:hint="eastAsia"/>
              </w:rPr>
              <w:t>4.主体材料为高强度、耐腐蚀的铝合金型材,材料为6005，状态为T6</w:t>
            </w:r>
          </w:p>
          <w:p w14:paraId="4C53674C">
            <w:pPr>
              <w:rPr>
                <w:rFonts w:hint="eastAsia"/>
              </w:rPr>
            </w:pPr>
            <w:r>
              <w:rPr>
                <w:rFonts w:hint="eastAsia"/>
              </w:rPr>
              <w:t>5.吊塔表面采用静电喷涂工艺，涂料具有抗菌功能，根据ISO22196:2011标准，表</w:t>
            </w:r>
          </w:p>
          <w:p w14:paraId="3BACD618">
            <w:pPr>
              <w:rPr>
                <w:rFonts w:hint="eastAsia"/>
              </w:rPr>
            </w:pPr>
            <w:r>
              <w:rPr>
                <w:rFonts w:hint="eastAsia"/>
              </w:rPr>
              <w:t>面对大肠杆菌、金黄色葡萄球菌抗菌率达99.9%，</w:t>
            </w:r>
          </w:p>
          <w:p w14:paraId="75CAAA85">
            <w:pPr>
              <w:rPr>
                <w:rFonts w:hint="eastAsia"/>
              </w:rPr>
            </w:pPr>
            <w:r>
              <w:rPr>
                <w:rFonts w:hint="eastAsia"/>
              </w:rPr>
              <w:t>6.吊塔在300Kg负载下，旋转寿命达到10万次，测试后吊塔仍然可以正常旋转。</w:t>
            </w:r>
          </w:p>
          <w:p w14:paraId="6C5F1B3B">
            <w:pPr>
              <w:rPr>
                <w:rFonts w:hint="eastAsia"/>
              </w:rPr>
            </w:pPr>
            <w:r>
              <w:rPr>
                <w:rFonts w:hint="eastAsia"/>
              </w:rPr>
              <w:t>提供国际权威第三方检测和认证机构对吊塔整机进行的《预期使用寿命测试报告》。</w:t>
            </w:r>
          </w:p>
          <w:p w14:paraId="19DC4C53">
            <w:pPr>
              <w:rPr>
                <w:rFonts w:hint="eastAsia"/>
              </w:rPr>
            </w:pPr>
            <w:r>
              <w:rPr>
                <w:rFonts w:hint="eastAsia"/>
              </w:rPr>
              <w:t>（由于吊塔具有旋转臂，受力极端，对于只对轴承或转轴进行的检测无效）</w:t>
            </w:r>
          </w:p>
          <w:p w14:paraId="224A8384">
            <w:pPr>
              <w:rPr>
                <w:rFonts w:hint="eastAsia"/>
              </w:rPr>
            </w:pPr>
            <w:r>
              <w:rPr>
                <w:rFonts w:hint="eastAsia"/>
              </w:rPr>
              <w:t>7.为确保安全，吊塔必须符合气、电分离的标准。</w:t>
            </w:r>
          </w:p>
          <w:p w14:paraId="3D73B0C7">
            <w:pPr>
              <w:rPr>
                <w:rFonts w:hint="eastAsia"/>
              </w:rPr>
            </w:pPr>
            <w:r>
              <w:rPr>
                <w:rFonts w:hint="eastAsia"/>
              </w:rPr>
              <w:t>8.吊塔防护等级应符合GB4208-2017标准中IP40的规定</w:t>
            </w:r>
          </w:p>
          <w:p w14:paraId="3883ECFC">
            <w:pPr>
              <w:rPr>
                <w:rFonts w:hint="eastAsia"/>
              </w:rPr>
            </w:pPr>
            <w:r>
              <w:rPr>
                <w:rFonts w:hint="eastAsia"/>
              </w:rPr>
              <w:t>9.吊塔需做动态试验，经冲击试验后，带电部件应不可触及，各类终端应符合要求，存在的保护装置应保持完整。</w:t>
            </w:r>
          </w:p>
          <w:p w14:paraId="1266DA3B">
            <w:pPr>
              <w:rPr>
                <w:rFonts w:hint="eastAsia"/>
                <w:lang w:eastAsia="zh-CN"/>
              </w:rPr>
            </w:pPr>
            <w:r>
              <w:rPr>
                <w:rFonts w:hint="eastAsia"/>
              </w:rPr>
              <w:t>10.吊塔内气管必须为进口医用专业气管，产品符合ISO7396、ISO5359标准要求</w:t>
            </w:r>
            <w:r>
              <w:rPr>
                <w:rFonts w:hint="eastAsia"/>
                <w:lang w:eastAsia="zh-CN"/>
              </w:rPr>
              <w:t>。</w:t>
            </w:r>
          </w:p>
          <w:p w14:paraId="567D05D3">
            <w:pPr>
              <w:rPr>
                <w:rFonts w:hint="eastAsia"/>
              </w:rPr>
            </w:pPr>
            <w:r>
              <w:rPr>
                <w:rFonts w:hint="eastAsia"/>
              </w:rPr>
              <w:t>11.气体终端要求：颜色以及形状不同，防误插，具有Standby（原位待接通状态）功能，插拔次数≥20000次。</w:t>
            </w:r>
          </w:p>
          <w:p w14:paraId="0ABEAE48">
            <w:pPr>
              <w:rPr>
                <w:rFonts w:hint="eastAsia"/>
              </w:rPr>
            </w:pPr>
            <w:r>
              <w:rPr>
                <w:rFonts w:hint="eastAsia"/>
              </w:rPr>
              <w:t>12.气电供应柱采用气电模块化设计，气体模块和电气模块可单独更换，供应柱由多个气电模块单元构成，产品安装后仍然可方便改变气、电位置或增加配置</w:t>
            </w:r>
          </w:p>
          <w:p w14:paraId="25A524DB">
            <w:pPr>
              <w:rPr>
                <w:rFonts w:hint="eastAsia"/>
              </w:rPr>
            </w:pPr>
            <w:r>
              <w:rPr>
                <w:rFonts w:hint="eastAsia"/>
              </w:rPr>
              <w:t>13.气电供应柱为四面结构，四面均可安装仪器平台和附件。8条竖直内藏式导轨可以固定仪器平台及其它附件。</w:t>
            </w:r>
          </w:p>
          <w:p w14:paraId="6800AB85">
            <w:pPr>
              <w:rPr>
                <w:rFonts w:hint="eastAsia"/>
              </w:rPr>
            </w:pPr>
            <w:r>
              <w:rPr>
                <w:rFonts w:hint="eastAsia"/>
              </w:rPr>
              <w:t>14.供应柱用来固定托盘和其它附件的导轨采用内藏式导轨，非外漏式的T型导轨。</w:t>
            </w:r>
          </w:p>
          <w:p w14:paraId="60662303">
            <w:pPr>
              <w:rPr>
                <w:rFonts w:hint="eastAsia"/>
              </w:rPr>
            </w:pPr>
            <w:r>
              <w:rPr>
                <w:rFonts w:hint="eastAsia"/>
              </w:rPr>
              <w:t>15.仪器平台材料为铝合金材质，非钢板或者塑料材质。</w:t>
            </w:r>
          </w:p>
          <w:p w14:paraId="7B570EEC">
            <w:pPr>
              <w:rPr>
                <w:rFonts w:hint="eastAsia"/>
              </w:rPr>
            </w:pPr>
            <w:r>
              <w:rPr>
                <w:rFonts w:hint="eastAsia"/>
              </w:rPr>
              <w:t>16.仪器平台承重≥100kg,抽屉承重≥30kg同时承重需4倍承重测试</w:t>
            </w:r>
          </w:p>
          <w:p w14:paraId="4DDC8CE5">
            <w:pPr>
              <w:rPr>
                <w:rFonts w:hint="eastAsia"/>
              </w:rPr>
            </w:pPr>
            <w:r>
              <w:rPr>
                <w:rFonts w:hint="eastAsia"/>
              </w:rPr>
              <w:t>17.抽屉为铝合金材质，为确保承重和经久耐用，不得采用塑料材料。抽屉必须具有自回弹功能。</w:t>
            </w:r>
          </w:p>
          <w:p w14:paraId="6979FE4D">
            <w:pPr>
              <w:rPr>
                <w:rFonts w:hint="eastAsia"/>
              </w:rPr>
            </w:pPr>
            <w:r>
              <w:rPr>
                <w:rFonts w:hint="eastAsia"/>
              </w:rPr>
              <w:t>18.各回转机构旋转角度≥350°，转动范围应能够覆盖病人所需区域，并配备旋转限位装置。</w:t>
            </w:r>
          </w:p>
          <w:p w14:paraId="382E2E92">
            <w:pPr>
              <w:rPr>
                <w:rFonts w:hint="eastAsia"/>
              </w:rPr>
            </w:pPr>
            <w:r>
              <w:rPr>
                <w:rFonts w:hint="eastAsia"/>
              </w:rPr>
              <w:t>19.外壳防火等级不小于UL94-V0级。</w:t>
            </w:r>
          </w:p>
          <w:p w14:paraId="12A2A7FE">
            <w:pPr>
              <w:rPr>
                <w:rFonts w:hint="eastAsia"/>
              </w:rPr>
            </w:pPr>
            <w:r>
              <w:rPr>
                <w:rFonts w:hint="eastAsia"/>
              </w:rPr>
              <w:t>20.产品经过抗地震实验，抗震级别满足抗震8级性能要求。提供专业第三方试验报告。</w:t>
            </w:r>
          </w:p>
          <w:p w14:paraId="54D54A0D">
            <w:pPr>
              <w:rPr>
                <w:rFonts w:hint="eastAsia"/>
              </w:rPr>
            </w:pPr>
            <w:r>
              <w:rPr>
                <w:rFonts w:hint="eastAsia"/>
              </w:rPr>
              <w:t>21.吊塔基座应经载荷试验，基座安装在模拟楼板试验，扭矩载荷12000Nm时基座</w:t>
            </w:r>
          </w:p>
          <w:p w14:paraId="19FA11E5">
            <w:pPr>
              <w:rPr>
                <w:rFonts w:hint="eastAsia"/>
              </w:rPr>
            </w:pPr>
            <w:r>
              <w:rPr>
                <w:rFonts w:hint="eastAsia"/>
              </w:rPr>
              <w:t>法兰变形≤0.3°，扭矩载荷24000Nm时基座法兰变形≤1.5°。</w:t>
            </w:r>
          </w:p>
          <w:p w14:paraId="2B3817EE">
            <w:pPr>
              <w:rPr>
                <w:rFonts w:hint="eastAsia"/>
              </w:rPr>
            </w:pPr>
            <w:r>
              <w:rPr>
                <w:rFonts w:hint="eastAsia"/>
              </w:rPr>
              <w:t>22.为保证吊塔耐腐蚀性，应按国家标准GB/T2423.18进行盐雾试验，试验结束后产</w:t>
            </w:r>
          </w:p>
          <w:p w14:paraId="411934F3">
            <w:pPr>
              <w:rPr>
                <w:rFonts w:hint="eastAsia"/>
              </w:rPr>
            </w:pPr>
            <w:r>
              <w:rPr>
                <w:rFonts w:hint="eastAsia"/>
              </w:rPr>
              <w:t>品应无损伤，无可见锈痕</w:t>
            </w:r>
          </w:p>
          <w:p w14:paraId="0BA65350">
            <w:pPr>
              <w:rPr>
                <w:rFonts w:hint="eastAsia"/>
              </w:rPr>
            </w:pPr>
            <w:r>
              <w:rPr>
                <w:rFonts w:hint="eastAsia"/>
              </w:rPr>
              <w:t>23.为了保证产品运输安全，产品外包装须经冲击试验</w:t>
            </w:r>
          </w:p>
          <w:p w14:paraId="5E3AB7A6">
            <w:pPr>
              <w:rPr>
                <w:rFonts w:hint="eastAsia"/>
              </w:rPr>
            </w:pPr>
            <w:r>
              <w:rPr>
                <w:rFonts w:hint="eastAsia"/>
              </w:rPr>
              <w:t>24.气密性要求：医用吊塔、吊桥气体管道系统，0.6MPa气压保压24小时，压降</w:t>
            </w:r>
          </w:p>
          <w:p w14:paraId="6C1A62A4">
            <w:pPr>
              <w:rPr>
                <w:rFonts w:hint="eastAsia"/>
              </w:rPr>
            </w:pPr>
            <w:r>
              <w:rPr>
                <w:rFonts w:hint="eastAsia"/>
              </w:rPr>
              <w:t>≤0.5%/h。</w:t>
            </w:r>
          </w:p>
          <w:p w14:paraId="1A6DD8BF">
            <w:pPr>
              <w:rPr>
                <w:rFonts w:hint="eastAsia"/>
                <w:lang w:eastAsia="zh-CN"/>
              </w:rPr>
            </w:pPr>
            <w:r>
              <w:rPr>
                <w:rFonts w:hint="eastAsia"/>
                <w:lang w:val="en-US" w:eastAsia="zh-CN"/>
              </w:rPr>
              <w:t>25.吊塔额定承重不小于300kg，同时经4倍承重测试。</w:t>
            </w:r>
          </w:p>
          <w:p w14:paraId="2E6AC95D">
            <w:pPr>
              <w:rPr>
                <w:rFonts w:hint="eastAsia"/>
                <w:lang w:eastAsia="zh-CN"/>
              </w:rPr>
            </w:pPr>
            <w:r>
              <w:rPr>
                <w:rFonts w:hint="eastAsia"/>
                <w:lang w:eastAsia="zh-CN"/>
              </w:rPr>
              <w:t>其他参数待收集</w:t>
            </w:r>
          </w:p>
        </w:tc>
        <w:tc>
          <w:tcPr>
            <w:tcW w:w="720"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3FBA474D">
            <w:pPr>
              <w:spacing w:line="400" w:lineRule="exact"/>
              <w:ind w:firstLine="420" w:firstLineChars="200"/>
              <w:rPr>
                <w:rFonts w:hint="eastAsia"/>
                <w:lang w:val="en-US" w:eastAsia="zh-CN"/>
              </w:rPr>
            </w:pPr>
          </w:p>
        </w:tc>
      </w:tr>
      <w:tr w14:paraId="301784E9">
        <w:tblPrEx>
          <w:tblCellMar>
            <w:top w:w="0" w:type="dxa"/>
            <w:left w:w="0" w:type="dxa"/>
            <w:bottom w:w="0" w:type="dxa"/>
            <w:right w:w="0" w:type="dxa"/>
          </w:tblCellMar>
        </w:tblPrEx>
        <w:trPr>
          <w:trHeight w:val="822" w:hRule="atLeast"/>
        </w:trPr>
        <w:tc>
          <w:tcPr>
            <w:tcW w:w="704" w:type="dxa"/>
            <w:tcBorders>
              <w:top w:val="single" w:color="auto" w:sz="4" w:space="0"/>
              <w:left w:val="single" w:color="auto" w:sz="6" w:space="0"/>
              <w:bottom w:val="single" w:color="auto" w:sz="6" w:space="0"/>
              <w:right w:val="single" w:color="auto" w:sz="6" w:space="0"/>
            </w:tcBorders>
            <w:shd w:val="clear" w:color="auto" w:fill="auto"/>
            <w:tcMar>
              <w:left w:w="105" w:type="dxa"/>
              <w:right w:w="105" w:type="dxa"/>
            </w:tcMar>
            <w:vAlign w:val="center"/>
          </w:tcPr>
          <w:p w14:paraId="0E7C611A">
            <w:pPr>
              <w:spacing w:line="400" w:lineRule="exact"/>
              <w:jc w:val="center"/>
              <w:rPr>
                <w:rFonts w:hint="eastAsia"/>
              </w:rPr>
            </w:pPr>
          </w:p>
        </w:tc>
        <w:tc>
          <w:tcPr>
            <w:tcW w:w="1200" w:type="dxa"/>
            <w:tcBorders>
              <w:top w:val="single" w:color="auto" w:sz="4" w:space="0"/>
              <w:left w:val="nil"/>
              <w:bottom w:val="single" w:color="auto" w:sz="6" w:space="0"/>
              <w:right w:val="single" w:color="auto" w:sz="6"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single" w:color="auto" w:sz="4" w:space="0"/>
              <w:left w:val="nil"/>
              <w:bottom w:val="single" w:color="auto" w:sz="6" w:space="0"/>
              <w:right w:val="single" w:color="auto" w:sz="6"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single" w:color="auto" w:sz="4" w:space="0"/>
              <w:left w:val="nil"/>
              <w:bottom w:val="single" w:color="auto" w:sz="6" w:space="0"/>
              <w:right w:val="single" w:color="auto" w:sz="6" w:space="0"/>
            </w:tcBorders>
            <w:shd w:val="clear" w:color="auto" w:fill="auto"/>
            <w:tcMar>
              <w:left w:w="105" w:type="dxa"/>
              <w:right w:w="105" w:type="dxa"/>
            </w:tcMar>
            <w:vAlign w:val="center"/>
          </w:tcPr>
          <w:p w14:paraId="6DEEF878">
            <w:pPr>
              <w:pStyle w:val="13"/>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1.保修3年</w:t>
            </w:r>
          </w:p>
        </w:tc>
        <w:tc>
          <w:tcPr>
            <w:tcW w:w="720" w:type="dxa"/>
            <w:tcBorders>
              <w:top w:val="single" w:color="auto" w:sz="4" w:space="0"/>
              <w:left w:val="nil"/>
              <w:bottom w:val="single" w:color="auto" w:sz="6" w:space="0"/>
              <w:right w:val="single" w:color="auto" w:sz="6" w:space="0"/>
            </w:tcBorders>
            <w:shd w:val="clear" w:color="auto" w:fill="auto"/>
            <w:tcMar>
              <w:left w:w="105" w:type="dxa"/>
              <w:right w:w="105" w:type="dxa"/>
            </w:tcMar>
            <w:vAlign w:val="center"/>
          </w:tcPr>
          <w:p w14:paraId="7241B8DF">
            <w:pPr>
              <w:spacing w:line="400" w:lineRule="exact"/>
              <w:ind w:firstLine="420" w:firstLineChars="200"/>
            </w:pPr>
          </w:p>
        </w:tc>
      </w:tr>
    </w:tbl>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508EB96B">
      <w:pPr>
        <w:spacing w:line="400" w:lineRule="exact"/>
        <w:ind w:firstLine="420" w:firstLineChars="200"/>
      </w:pPr>
      <w:r>
        <w:rPr>
          <w:rFonts w:hint="eastAsia"/>
        </w:rPr>
        <w:t>三、调查要求</w:t>
      </w:r>
    </w:p>
    <w:p w14:paraId="1F354009">
      <w:pPr>
        <w:spacing w:line="400" w:lineRule="exact"/>
        <w:ind w:firstLine="420" w:firstLineChars="200"/>
      </w:pPr>
      <w:r>
        <w:rPr>
          <w:rFonts w:hint="eastAsia"/>
        </w:rPr>
        <w:t>1.资料要求</w:t>
      </w:r>
    </w:p>
    <w:p w14:paraId="6FC157D2">
      <w:pPr>
        <w:spacing w:line="400" w:lineRule="exact"/>
        <w:ind w:firstLine="420" w:firstLineChars="200"/>
      </w:pPr>
      <w:r>
        <w:rPr>
          <w:rFonts w:hint="eastAsia"/>
        </w:rPr>
        <w:t>有意向参加调查的供应商请于202</w:t>
      </w:r>
      <w:r>
        <w:rPr>
          <w:rFonts w:hint="eastAsia"/>
          <w:lang w:val="en-US" w:eastAsia="zh-CN"/>
        </w:rPr>
        <w:t>5</w:t>
      </w:r>
      <w:r>
        <w:rPr>
          <w:rFonts w:hint="eastAsia"/>
        </w:rPr>
        <w:t>年</w:t>
      </w:r>
      <w:r>
        <w:rPr>
          <w:rFonts w:hint="eastAsia"/>
          <w:lang w:val="en-US" w:eastAsia="zh-CN"/>
        </w:rPr>
        <w:t>10</w:t>
      </w:r>
      <w:r>
        <w:rPr>
          <w:rFonts w:hint="eastAsia"/>
          <w:color w:val="0000FF"/>
        </w:rPr>
        <w:t>月</w:t>
      </w:r>
      <w:r>
        <w:rPr>
          <w:rFonts w:hint="eastAsia"/>
          <w:color w:val="0000FF"/>
          <w:lang w:val="en-US" w:eastAsia="zh-CN"/>
        </w:rPr>
        <w:t>17</w:t>
      </w:r>
      <w:r>
        <w:rPr>
          <w:rFonts w:hint="eastAsia"/>
          <w:color w:val="0000FF"/>
        </w:rPr>
        <w:t>日起至20</w:t>
      </w:r>
      <w:r>
        <w:rPr>
          <w:rFonts w:hint="eastAsia"/>
          <w:color w:val="0000FF"/>
          <w:lang w:val="en-US" w:eastAsia="zh-CN"/>
        </w:rPr>
        <w:t>25</w:t>
      </w:r>
      <w:r>
        <w:rPr>
          <w:rFonts w:hint="eastAsia"/>
          <w:color w:val="0000FF"/>
        </w:rPr>
        <w:t>年</w:t>
      </w:r>
      <w:r>
        <w:rPr>
          <w:rFonts w:hint="eastAsia"/>
          <w:color w:val="0000FF"/>
          <w:lang w:val="en-US" w:eastAsia="zh-CN"/>
        </w:rPr>
        <w:t>10</w:t>
      </w:r>
      <w:r>
        <w:rPr>
          <w:rFonts w:hint="eastAsia"/>
          <w:color w:val="0000FF"/>
        </w:rPr>
        <w:t>月</w:t>
      </w:r>
      <w:r>
        <w:rPr>
          <w:rFonts w:hint="eastAsia"/>
          <w:color w:val="0000FF"/>
          <w:lang w:val="en-US" w:eastAsia="zh-CN"/>
        </w:rPr>
        <w:t>19</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shebeike0774@163.com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60403203">
      <w:pPr>
        <w:spacing w:line="400" w:lineRule="exact"/>
        <w:ind w:firstLine="420" w:firstLineChars="200"/>
      </w:pPr>
      <w:r>
        <w:rPr>
          <w:rFonts w:hint="eastAsia"/>
        </w:rPr>
        <w:t>2.递交截止时间</w:t>
      </w:r>
    </w:p>
    <w:p w14:paraId="5CDD3C01">
      <w:pPr>
        <w:spacing w:line="400" w:lineRule="exact"/>
        <w:ind w:firstLine="420" w:firstLineChars="200"/>
      </w:pPr>
      <w:r>
        <w:rPr>
          <w:rFonts w:hint="eastAsia"/>
          <w:color w:val="0000FF"/>
        </w:rPr>
        <w:t>20</w:t>
      </w:r>
      <w:r>
        <w:rPr>
          <w:rFonts w:hint="eastAsia"/>
          <w:color w:val="0000FF"/>
          <w:lang w:val="en-US" w:eastAsia="zh-CN"/>
        </w:rPr>
        <w:t>25</w:t>
      </w:r>
      <w:r>
        <w:rPr>
          <w:rFonts w:hint="eastAsia"/>
          <w:color w:val="0000FF"/>
        </w:rPr>
        <w:t>年</w:t>
      </w:r>
      <w:r>
        <w:rPr>
          <w:rFonts w:hint="eastAsia"/>
          <w:color w:val="0000FF"/>
          <w:lang w:val="en-US" w:eastAsia="zh-CN"/>
        </w:rPr>
        <w:t>5</w:t>
      </w:r>
      <w:r>
        <w:rPr>
          <w:rFonts w:hint="eastAsia"/>
          <w:color w:val="0000FF"/>
        </w:rPr>
        <w:t>月</w:t>
      </w:r>
      <w:r>
        <w:rPr>
          <w:rFonts w:hint="eastAsia"/>
          <w:color w:val="0000FF"/>
          <w:lang w:val="en-US" w:eastAsia="zh-CN"/>
        </w:rPr>
        <w:t>19</w:t>
      </w:r>
      <w:r>
        <w:rPr>
          <w:rFonts w:hint="eastAsia"/>
          <w:color w:val="0000FF"/>
        </w:rPr>
        <w:t>日</w:t>
      </w:r>
      <w:r>
        <w:rPr>
          <w:rFonts w:hint="eastAsia"/>
        </w:rPr>
        <w:t>18：00。</w:t>
      </w:r>
    </w:p>
    <w:p w14:paraId="085FFD3F">
      <w:pPr>
        <w:spacing w:line="400" w:lineRule="exact"/>
        <w:ind w:firstLine="420" w:firstLineChars="200"/>
      </w:pPr>
      <w:r>
        <w:rPr>
          <w:rFonts w:hint="eastAsia"/>
        </w:rPr>
        <w:t>3.递交方式</w:t>
      </w:r>
    </w:p>
    <w:p w14:paraId="3628B9AF">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shebeike0774@163.com</w:t>
      </w:r>
      <w:r>
        <w:rPr>
          <w:rFonts w:hint="eastAsia"/>
        </w:rPr>
        <w:t>，邮件主题命名格式：项目名称+公司名称。</w:t>
      </w:r>
    </w:p>
    <w:p w14:paraId="7CBB2BA1">
      <w:pPr>
        <w:spacing w:line="400" w:lineRule="exact"/>
        <w:ind w:firstLine="420" w:firstLineChars="200"/>
      </w:pPr>
      <w:r>
        <w:rPr>
          <w:rFonts w:hint="eastAsia"/>
        </w:rPr>
        <w:t>四、联系方式</w:t>
      </w:r>
    </w:p>
    <w:p w14:paraId="1B460377">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265C9AE8">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1992A718">
      <w:pPr>
        <w:spacing w:line="400" w:lineRule="exact"/>
        <w:jc w:val="right"/>
      </w:pPr>
      <w:r>
        <w:rPr>
          <w:rFonts w:hint="eastAsia"/>
        </w:rPr>
        <w:t>202</w:t>
      </w:r>
      <w:r>
        <w:rPr>
          <w:rFonts w:hint="eastAsia"/>
          <w:lang w:val="en-US" w:eastAsia="zh-CN"/>
        </w:rPr>
        <w:t>5</w:t>
      </w:r>
      <w:r>
        <w:rPr>
          <w:rFonts w:hint="eastAsia"/>
        </w:rPr>
        <w:t>年</w:t>
      </w:r>
      <w:r>
        <w:rPr>
          <w:rFonts w:hint="eastAsia"/>
          <w:color w:val="0000FF"/>
          <w:lang w:val="en-US" w:eastAsia="zh-CN"/>
        </w:rPr>
        <w:t>10</w:t>
      </w:r>
      <w:r>
        <w:rPr>
          <w:rFonts w:hint="eastAsia"/>
          <w:color w:val="0000FF"/>
        </w:rPr>
        <w:t>月</w:t>
      </w:r>
      <w:r>
        <w:rPr>
          <w:rFonts w:hint="eastAsia"/>
          <w:color w:val="0000FF"/>
          <w:lang w:val="en-US" w:eastAsia="zh-CN"/>
        </w:rPr>
        <w:t>19</w:t>
      </w:r>
      <w:r>
        <w:rPr>
          <w:rFonts w:hint="eastAsia"/>
          <w:color w:val="0000FF"/>
        </w:rPr>
        <w:t>日</w:t>
      </w:r>
    </w:p>
    <w:p w14:paraId="75764668">
      <w:pPr>
        <w:spacing w:line="400" w:lineRule="exact"/>
        <w:rPr>
          <w:rFonts w:ascii="宋体" w:hAnsi="宋体" w:eastAsia="宋体" w:cs="宋体"/>
          <w:szCs w:val="21"/>
        </w:rPr>
      </w:pPr>
    </w:p>
    <w:p w14:paraId="536EC433">
      <w:pPr>
        <w:pStyle w:val="3"/>
        <w:rPr>
          <w:szCs w:val="30"/>
        </w:rPr>
      </w:pPr>
      <w:bookmarkStart w:id="0" w:name="_Toc8052"/>
      <w:r>
        <w:rPr>
          <w:rFonts w:hint="eastAsia"/>
          <w:szCs w:val="30"/>
        </w:rPr>
        <w:t>二、调查内容</w:t>
      </w:r>
    </w:p>
    <w:p w14:paraId="183F1511">
      <w:pPr>
        <w:pStyle w:val="4"/>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7978C6BB">
      <w:pPr>
        <w:wordWrap w:val="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5EDA9B15">
      <w:pPr>
        <w:wordWrap w:val="0"/>
        <w:spacing w:line="480" w:lineRule="auto"/>
        <w:ind w:right="844" w:firstLine="4337" w:firstLineChars="1800"/>
        <w:rPr>
          <w:szCs w:val="20"/>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25</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bookmarkEnd w:id="1"/>
      <w:r>
        <w:br w:type="page"/>
      </w:r>
    </w:p>
    <w:p w14:paraId="3DEDEAF3">
      <w:pPr>
        <w:pStyle w:val="4"/>
      </w:pPr>
      <w:r>
        <w:rPr>
          <w:rFonts w:hint="eastAsia"/>
        </w:rPr>
        <w:t>2、</w:t>
      </w:r>
      <w:bookmarkEnd w:id="0"/>
      <w:r>
        <w:rPr>
          <w:rFonts w:hint="eastAsia"/>
        </w:rPr>
        <w:t>资料要求</w:t>
      </w:r>
    </w:p>
    <w:p w14:paraId="3E4997ED">
      <w:pPr>
        <w:pStyle w:val="6"/>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6"/>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4"/>
      </w:pPr>
      <w:bookmarkStart w:id="2" w:name="_Toc24690"/>
      <w:r>
        <w:rPr>
          <w:rFonts w:hint="eastAsia"/>
        </w:rPr>
        <w:t>3、市场调查情况说明</w:t>
      </w:r>
    </w:p>
    <w:p w14:paraId="7EC6A056">
      <w:pPr>
        <w:pStyle w:val="23"/>
        <w:numPr>
          <w:ilvl w:val="0"/>
          <w:numId w:val="3"/>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23"/>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23"/>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23"/>
        <w:numPr>
          <w:ilvl w:val="0"/>
          <w:numId w:val="3"/>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23"/>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23"/>
        <w:spacing w:line="360" w:lineRule="auto"/>
        <w:ind w:left="1200" w:firstLine="0" w:firstLineChars="0"/>
        <w:jc w:val="left"/>
        <w:rPr>
          <w:sz w:val="24"/>
          <w:szCs w:val="24"/>
        </w:rPr>
      </w:pPr>
    </w:p>
    <w:p w14:paraId="51D13ADA">
      <w:pPr>
        <w:pStyle w:val="23"/>
        <w:numPr>
          <w:ilvl w:val="0"/>
          <w:numId w:val="3"/>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23"/>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23"/>
        <w:spacing w:line="360" w:lineRule="auto"/>
        <w:ind w:left="1200" w:firstLine="0" w:firstLineChars="0"/>
        <w:jc w:val="left"/>
        <w:rPr>
          <w:sz w:val="24"/>
          <w:szCs w:val="24"/>
        </w:rPr>
      </w:pPr>
    </w:p>
    <w:p w14:paraId="63229391">
      <w:pPr>
        <w:pStyle w:val="23"/>
        <w:numPr>
          <w:ilvl w:val="0"/>
          <w:numId w:val="3"/>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7"/>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6"/>
              <w:jc w:val="center"/>
              <w:rPr>
                <w:sz w:val="24"/>
                <w:szCs w:val="24"/>
              </w:rPr>
            </w:pPr>
            <w:r>
              <w:rPr>
                <w:rFonts w:hint="eastAsia"/>
                <w:sz w:val="24"/>
                <w:szCs w:val="24"/>
              </w:rPr>
              <w:t>序号</w:t>
            </w:r>
          </w:p>
        </w:tc>
        <w:tc>
          <w:tcPr>
            <w:tcW w:w="1387" w:type="dxa"/>
            <w:vAlign w:val="center"/>
          </w:tcPr>
          <w:p w14:paraId="27F9A7DA">
            <w:pPr>
              <w:pStyle w:val="6"/>
              <w:jc w:val="center"/>
              <w:rPr>
                <w:sz w:val="24"/>
                <w:szCs w:val="24"/>
              </w:rPr>
            </w:pPr>
            <w:r>
              <w:rPr>
                <w:sz w:val="24"/>
                <w:szCs w:val="24"/>
              </w:rPr>
              <w:t>产品名称</w:t>
            </w:r>
          </w:p>
        </w:tc>
        <w:tc>
          <w:tcPr>
            <w:tcW w:w="1913" w:type="dxa"/>
            <w:vAlign w:val="center"/>
          </w:tcPr>
          <w:p w14:paraId="63E1DB7D">
            <w:pPr>
              <w:pStyle w:val="6"/>
              <w:jc w:val="center"/>
              <w:rPr>
                <w:sz w:val="24"/>
                <w:szCs w:val="24"/>
              </w:rPr>
            </w:pPr>
            <w:r>
              <w:rPr>
                <w:sz w:val="24"/>
                <w:szCs w:val="24"/>
              </w:rPr>
              <w:t>制造商或服务商</w:t>
            </w:r>
          </w:p>
        </w:tc>
        <w:tc>
          <w:tcPr>
            <w:tcW w:w="1199" w:type="dxa"/>
            <w:vAlign w:val="center"/>
          </w:tcPr>
          <w:p w14:paraId="348BF487">
            <w:pPr>
              <w:pStyle w:val="6"/>
              <w:jc w:val="center"/>
              <w:rPr>
                <w:sz w:val="24"/>
                <w:szCs w:val="24"/>
              </w:rPr>
            </w:pPr>
            <w:r>
              <w:rPr>
                <w:sz w:val="24"/>
                <w:szCs w:val="24"/>
              </w:rPr>
              <w:t>规格型号</w:t>
            </w:r>
          </w:p>
        </w:tc>
        <w:tc>
          <w:tcPr>
            <w:tcW w:w="1295" w:type="dxa"/>
            <w:vAlign w:val="center"/>
          </w:tcPr>
          <w:p w14:paraId="3567E33B">
            <w:pPr>
              <w:pStyle w:val="6"/>
              <w:jc w:val="center"/>
              <w:rPr>
                <w:sz w:val="24"/>
                <w:szCs w:val="24"/>
              </w:rPr>
            </w:pPr>
            <w:r>
              <w:rPr>
                <w:rFonts w:hint="eastAsia"/>
                <w:sz w:val="24"/>
                <w:szCs w:val="24"/>
              </w:rPr>
              <w:t>成交价</w:t>
            </w:r>
          </w:p>
        </w:tc>
        <w:tc>
          <w:tcPr>
            <w:tcW w:w="1360" w:type="dxa"/>
            <w:vAlign w:val="center"/>
          </w:tcPr>
          <w:p w14:paraId="2B6674B7">
            <w:pPr>
              <w:pStyle w:val="6"/>
              <w:jc w:val="center"/>
              <w:rPr>
                <w:sz w:val="24"/>
                <w:szCs w:val="24"/>
              </w:rPr>
            </w:pPr>
            <w:r>
              <w:rPr>
                <w:sz w:val="24"/>
                <w:szCs w:val="24"/>
              </w:rPr>
              <w:t>采购单位</w:t>
            </w:r>
          </w:p>
        </w:tc>
        <w:tc>
          <w:tcPr>
            <w:tcW w:w="1328" w:type="dxa"/>
          </w:tcPr>
          <w:p w14:paraId="79E3C148">
            <w:pPr>
              <w:pStyle w:val="6"/>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6"/>
              <w:jc w:val="center"/>
              <w:rPr>
                <w:sz w:val="24"/>
                <w:szCs w:val="24"/>
              </w:rPr>
            </w:pPr>
          </w:p>
        </w:tc>
        <w:tc>
          <w:tcPr>
            <w:tcW w:w="1387" w:type="dxa"/>
          </w:tcPr>
          <w:p w14:paraId="1B52B6AF">
            <w:pPr>
              <w:pStyle w:val="6"/>
              <w:jc w:val="center"/>
              <w:rPr>
                <w:sz w:val="24"/>
                <w:szCs w:val="24"/>
              </w:rPr>
            </w:pPr>
          </w:p>
        </w:tc>
        <w:tc>
          <w:tcPr>
            <w:tcW w:w="1913" w:type="dxa"/>
          </w:tcPr>
          <w:p w14:paraId="6F91CA98">
            <w:pPr>
              <w:pStyle w:val="6"/>
              <w:jc w:val="center"/>
              <w:rPr>
                <w:sz w:val="24"/>
                <w:szCs w:val="24"/>
              </w:rPr>
            </w:pPr>
          </w:p>
        </w:tc>
        <w:tc>
          <w:tcPr>
            <w:tcW w:w="1199" w:type="dxa"/>
          </w:tcPr>
          <w:p w14:paraId="17D8146C">
            <w:pPr>
              <w:pStyle w:val="6"/>
              <w:jc w:val="center"/>
              <w:rPr>
                <w:sz w:val="24"/>
                <w:szCs w:val="24"/>
              </w:rPr>
            </w:pPr>
          </w:p>
        </w:tc>
        <w:tc>
          <w:tcPr>
            <w:tcW w:w="1295" w:type="dxa"/>
          </w:tcPr>
          <w:p w14:paraId="3DBA9C20">
            <w:pPr>
              <w:pStyle w:val="6"/>
              <w:jc w:val="center"/>
              <w:rPr>
                <w:sz w:val="24"/>
                <w:szCs w:val="24"/>
              </w:rPr>
            </w:pPr>
          </w:p>
        </w:tc>
        <w:tc>
          <w:tcPr>
            <w:tcW w:w="1360" w:type="dxa"/>
          </w:tcPr>
          <w:p w14:paraId="6C663B1E">
            <w:pPr>
              <w:pStyle w:val="6"/>
              <w:jc w:val="center"/>
              <w:rPr>
                <w:sz w:val="24"/>
                <w:szCs w:val="24"/>
              </w:rPr>
            </w:pPr>
          </w:p>
        </w:tc>
        <w:tc>
          <w:tcPr>
            <w:tcW w:w="1328" w:type="dxa"/>
          </w:tcPr>
          <w:p w14:paraId="0C3EAF0B">
            <w:pPr>
              <w:pStyle w:val="6"/>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6"/>
              <w:jc w:val="center"/>
              <w:rPr>
                <w:sz w:val="24"/>
                <w:szCs w:val="24"/>
              </w:rPr>
            </w:pPr>
          </w:p>
        </w:tc>
        <w:tc>
          <w:tcPr>
            <w:tcW w:w="1387" w:type="dxa"/>
          </w:tcPr>
          <w:p w14:paraId="08628089">
            <w:pPr>
              <w:pStyle w:val="6"/>
              <w:jc w:val="center"/>
              <w:rPr>
                <w:sz w:val="24"/>
                <w:szCs w:val="24"/>
              </w:rPr>
            </w:pPr>
          </w:p>
        </w:tc>
        <w:tc>
          <w:tcPr>
            <w:tcW w:w="1913" w:type="dxa"/>
          </w:tcPr>
          <w:p w14:paraId="2B047814">
            <w:pPr>
              <w:pStyle w:val="6"/>
              <w:jc w:val="center"/>
              <w:rPr>
                <w:sz w:val="24"/>
                <w:szCs w:val="24"/>
              </w:rPr>
            </w:pPr>
          </w:p>
        </w:tc>
        <w:tc>
          <w:tcPr>
            <w:tcW w:w="1199" w:type="dxa"/>
          </w:tcPr>
          <w:p w14:paraId="6BD9ED73">
            <w:pPr>
              <w:pStyle w:val="6"/>
              <w:jc w:val="center"/>
              <w:rPr>
                <w:sz w:val="24"/>
                <w:szCs w:val="24"/>
              </w:rPr>
            </w:pPr>
          </w:p>
        </w:tc>
        <w:tc>
          <w:tcPr>
            <w:tcW w:w="1295" w:type="dxa"/>
          </w:tcPr>
          <w:p w14:paraId="0B2CC433">
            <w:pPr>
              <w:pStyle w:val="6"/>
              <w:jc w:val="center"/>
              <w:rPr>
                <w:sz w:val="24"/>
                <w:szCs w:val="24"/>
              </w:rPr>
            </w:pPr>
          </w:p>
        </w:tc>
        <w:tc>
          <w:tcPr>
            <w:tcW w:w="1360" w:type="dxa"/>
          </w:tcPr>
          <w:p w14:paraId="5D2BA18E">
            <w:pPr>
              <w:pStyle w:val="6"/>
              <w:jc w:val="center"/>
              <w:rPr>
                <w:sz w:val="24"/>
                <w:szCs w:val="24"/>
              </w:rPr>
            </w:pPr>
          </w:p>
        </w:tc>
        <w:tc>
          <w:tcPr>
            <w:tcW w:w="1328" w:type="dxa"/>
          </w:tcPr>
          <w:p w14:paraId="05ADACED">
            <w:pPr>
              <w:pStyle w:val="6"/>
              <w:jc w:val="center"/>
              <w:rPr>
                <w:sz w:val="24"/>
                <w:szCs w:val="24"/>
              </w:rPr>
            </w:pPr>
          </w:p>
        </w:tc>
      </w:tr>
    </w:tbl>
    <w:p w14:paraId="2AFDB5C6">
      <w:pPr>
        <w:pStyle w:val="23"/>
        <w:spacing w:line="360" w:lineRule="auto"/>
        <w:ind w:left="1200" w:firstLine="0" w:firstLineChars="0"/>
        <w:jc w:val="left"/>
        <w:rPr>
          <w:sz w:val="24"/>
          <w:szCs w:val="24"/>
        </w:rPr>
      </w:pPr>
    </w:p>
    <w:p w14:paraId="69202F42">
      <w:pPr>
        <w:pStyle w:val="23"/>
        <w:spacing w:line="360" w:lineRule="auto"/>
        <w:ind w:left="1200" w:firstLine="0" w:firstLineChars="0"/>
        <w:jc w:val="left"/>
        <w:rPr>
          <w:sz w:val="24"/>
          <w:szCs w:val="24"/>
        </w:rPr>
      </w:pPr>
    </w:p>
    <w:p w14:paraId="5DDA8DA7">
      <w:pPr>
        <w:pStyle w:val="6"/>
      </w:pPr>
    </w:p>
    <w:p w14:paraId="6E17E2C6">
      <w:pPr>
        <w:widowControl/>
        <w:jc w:val="left"/>
        <w:rPr>
          <w:b/>
          <w:bCs/>
          <w:sz w:val="28"/>
          <w:szCs w:val="32"/>
        </w:rPr>
      </w:pPr>
      <w:r>
        <w:br w:type="page"/>
      </w:r>
    </w:p>
    <w:p w14:paraId="349BD741">
      <w:pPr>
        <w:pStyle w:val="4"/>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6"/>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spacing w:line="520" w:lineRule="exact"/>
              <w:ind w:firstLine="0" w:firstLineChars="0"/>
              <w:jc w:val="center"/>
              <w:rPr>
                <w:rFonts w:hint="eastAsia" w:ascii="宋体" w:hAnsi="宋体" w:eastAsia="宋体" w:cs="宋体"/>
                <w:color w:val="auto"/>
                <w:kern w:val="2"/>
                <w:sz w:val="21"/>
                <w:szCs w:val="21"/>
                <w:highlight w:val="none"/>
                <w:lang w:eastAsia="zh-CN"/>
              </w:rPr>
            </w:pPr>
            <w:r>
              <w:rPr>
                <w:rFonts w:hint="eastAsia" w:ascii="宋体" w:hAnsi="宋体" w:eastAsia="宋体" w:cs="宋体"/>
                <w:color w:val="auto"/>
                <w:kern w:val="2"/>
                <w:sz w:val="21"/>
                <w:szCs w:val="21"/>
                <w:highlight w:val="none"/>
                <w:lang w:eastAsia="zh-CN"/>
              </w:rPr>
              <w:t>技术参数要求</w:t>
            </w:r>
          </w:p>
        </w:tc>
        <w:tc>
          <w:tcPr>
            <w:tcW w:w="2790" w:type="dxa"/>
            <w:vAlign w:val="center"/>
          </w:tcPr>
          <w:p w14:paraId="4DDBC53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eastAsia="zh-CN"/>
              </w:rPr>
              <w:t>产品具体技术参数及配置</w:t>
            </w:r>
          </w:p>
        </w:tc>
        <w:tc>
          <w:tcPr>
            <w:tcW w:w="1855" w:type="dxa"/>
            <w:vAlign w:val="center"/>
          </w:tcPr>
          <w:p w14:paraId="507D62C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是否偏离</w:t>
            </w:r>
          </w:p>
        </w:tc>
        <w:tc>
          <w:tcPr>
            <w:tcW w:w="1855" w:type="dxa"/>
            <w:vAlign w:val="center"/>
          </w:tcPr>
          <w:p w14:paraId="15C9F476">
            <w:pPr>
              <w:pStyle w:val="7"/>
              <w:spacing w:line="520" w:lineRule="exact"/>
              <w:ind w:firstLine="0" w:firstLineChars="0"/>
              <w:jc w:val="center"/>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7"/>
              <w:spacing w:line="520" w:lineRule="exact"/>
              <w:ind w:firstLine="0" w:firstLineChars="0"/>
              <w:jc w:val="both"/>
              <w:rPr>
                <w:rFonts w:ascii="宋体" w:hAnsi="宋体" w:eastAsia="宋体" w:cs="宋体"/>
                <w:color w:val="auto"/>
                <w:kern w:val="2"/>
                <w:sz w:val="21"/>
                <w:szCs w:val="21"/>
                <w:highlight w:val="none"/>
              </w:rPr>
            </w:pPr>
          </w:p>
        </w:tc>
        <w:tc>
          <w:tcPr>
            <w:tcW w:w="2790" w:type="dxa"/>
            <w:vAlign w:val="top"/>
          </w:tcPr>
          <w:p w14:paraId="732044AC">
            <w:pPr>
              <w:pStyle w:val="7"/>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25EC6D07">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6E8161F">
            <w:pPr>
              <w:spacing w:line="520" w:lineRule="exact"/>
              <w:ind w:firstLine="0" w:firstLineChars="0"/>
              <w:jc w:val="both"/>
              <w:rPr>
                <w:rFonts w:ascii="宋体" w:hAnsi="宋体" w:eastAsia="宋体" w:cs="宋体"/>
                <w:color w:val="auto"/>
                <w:kern w:val="2"/>
                <w:sz w:val="21"/>
                <w:szCs w:val="21"/>
                <w:highlight w:val="none"/>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19DD823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8F2EDCE">
            <w:pPr>
              <w:spacing w:line="520" w:lineRule="exact"/>
              <w:ind w:firstLine="0" w:firstLineChars="0"/>
              <w:jc w:val="both"/>
              <w:rPr>
                <w:rFonts w:ascii="宋体" w:hAnsi="宋体" w:eastAsia="宋体" w:cs="宋体"/>
                <w:color w:val="auto"/>
                <w:kern w:val="2"/>
                <w:sz w:val="21"/>
                <w:szCs w:val="21"/>
                <w:highlight w:val="none"/>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6AB0313D">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A0C657D">
            <w:pPr>
              <w:spacing w:line="520" w:lineRule="exact"/>
              <w:ind w:firstLine="0" w:firstLineChars="0"/>
              <w:jc w:val="both"/>
              <w:rPr>
                <w:rFonts w:ascii="宋体" w:hAnsi="宋体" w:eastAsia="宋体" w:cs="宋体"/>
                <w:color w:val="auto"/>
                <w:kern w:val="2"/>
                <w:sz w:val="21"/>
                <w:szCs w:val="21"/>
                <w:highlight w:val="none"/>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3382A5E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5784C5D">
            <w:pPr>
              <w:spacing w:line="520" w:lineRule="exact"/>
              <w:ind w:firstLine="0" w:firstLineChars="0"/>
              <w:jc w:val="both"/>
              <w:rPr>
                <w:rFonts w:ascii="宋体" w:hAnsi="宋体" w:eastAsia="宋体" w:cs="宋体"/>
                <w:color w:val="auto"/>
                <w:kern w:val="2"/>
                <w:sz w:val="21"/>
                <w:szCs w:val="21"/>
                <w:highlight w:val="none"/>
              </w:rPr>
            </w:pPr>
          </w:p>
        </w:tc>
      </w:tr>
    </w:tbl>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表中产品参数不可复制粘贴，所提供的品牌参数至少满足不低于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4"/>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4"/>
      </w:pPr>
      <w:r>
        <w:rPr>
          <w:rFonts w:hint="eastAsia"/>
        </w:rPr>
        <w:t>6、</w:t>
      </w:r>
      <w:bookmarkStart w:id="4" w:name="_Toc5245"/>
      <w:bookmarkStart w:id="5" w:name="_Toc37256575"/>
      <w:r>
        <w:rPr>
          <w:rFonts w:hint="eastAsia"/>
        </w:rPr>
        <w:t>报价一览表</w:t>
      </w:r>
      <w:bookmarkEnd w:id="2"/>
      <w:bookmarkEnd w:id="4"/>
      <w:bookmarkEnd w:id="5"/>
    </w:p>
    <w:tbl>
      <w:tblPr>
        <w:tblStyle w:val="16"/>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6"/>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6"/>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4</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6"/>
      </w:pPr>
    </w:p>
    <w:p w14:paraId="6A334546">
      <w:pPr>
        <w:pStyle w:val="6"/>
      </w:pPr>
    </w:p>
    <w:p w14:paraId="2BF12453">
      <w:pPr>
        <w:pStyle w:val="6"/>
      </w:pPr>
    </w:p>
    <w:p w14:paraId="596DA215">
      <w:pPr>
        <w:pStyle w:val="6"/>
      </w:pPr>
    </w:p>
    <w:p w14:paraId="51D4CD71">
      <w:pPr>
        <w:pStyle w:val="6"/>
      </w:pPr>
    </w:p>
    <w:p w14:paraId="12B26632">
      <w:pPr>
        <w:pStyle w:val="6"/>
      </w:pPr>
    </w:p>
    <w:p w14:paraId="0D657DF5">
      <w:pPr>
        <w:pStyle w:val="6"/>
      </w:pPr>
    </w:p>
    <w:p w14:paraId="6A0BB67D">
      <w:pPr>
        <w:pStyle w:val="6"/>
      </w:pPr>
    </w:p>
    <w:p w14:paraId="6C9EBD66">
      <w:pPr>
        <w:pStyle w:val="4"/>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auto"/>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F4C97D"/>
    <w:multiLevelType w:val="singleLevel"/>
    <w:tmpl w:val="ABF4C97D"/>
    <w:lvl w:ilvl="0" w:tentative="0">
      <w:start w:val="2"/>
      <w:numFmt w:val="chineseCounting"/>
      <w:suff w:val="nothing"/>
      <w:lvlText w:val="%1、"/>
      <w:lvlJc w:val="left"/>
      <w:rPr>
        <w:rFonts w:hint="eastAsia"/>
      </w:rPr>
    </w:lvl>
  </w:abstractNum>
  <w:abstractNum w:abstractNumId="1">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75A045A6"/>
    <w:multiLevelType w:val="singleLevel"/>
    <w:tmpl w:val="75A045A6"/>
    <w:lvl w:ilvl="0" w:tentative="0">
      <w:start w:val="25"/>
      <w:numFmt w:val="decimal"/>
      <w:lvlText w:val="%1."/>
      <w:lvlJc w:val="left"/>
      <w:pPr>
        <w:tabs>
          <w:tab w:val="left" w:pos="312"/>
        </w:tabs>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3213297"/>
    <w:rsid w:val="0A8335A7"/>
    <w:rsid w:val="10A342B4"/>
    <w:rsid w:val="113B1899"/>
    <w:rsid w:val="122D02D9"/>
    <w:rsid w:val="131F3CDC"/>
    <w:rsid w:val="160C2B35"/>
    <w:rsid w:val="16D8458B"/>
    <w:rsid w:val="1CBA09BB"/>
    <w:rsid w:val="1D357A14"/>
    <w:rsid w:val="1D79513F"/>
    <w:rsid w:val="22FC46BF"/>
    <w:rsid w:val="24753E87"/>
    <w:rsid w:val="256A5327"/>
    <w:rsid w:val="25A16BBC"/>
    <w:rsid w:val="260414BA"/>
    <w:rsid w:val="27865287"/>
    <w:rsid w:val="29976814"/>
    <w:rsid w:val="2B894753"/>
    <w:rsid w:val="311C6EC7"/>
    <w:rsid w:val="33694A9C"/>
    <w:rsid w:val="34CE72A2"/>
    <w:rsid w:val="35045B31"/>
    <w:rsid w:val="362407BA"/>
    <w:rsid w:val="37620589"/>
    <w:rsid w:val="37621F23"/>
    <w:rsid w:val="3A1219DE"/>
    <w:rsid w:val="3B9770E5"/>
    <w:rsid w:val="3BBC679D"/>
    <w:rsid w:val="3C4B6C14"/>
    <w:rsid w:val="3C7B3E94"/>
    <w:rsid w:val="3D8E4AC7"/>
    <w:rsid w:val="3DE40B6A"/>
    <w:rsid w:val="45576E3F"/>
    <w:rsid w:val="469D3BA0"/>
    <w:rsid w:val="486A2F43"/>
    <w:rsid w:val="49F35BEF"/>
    <w:rsid w:val="4D0F78F1"/>
    <w:rsid w:val="4D673998"/>
    <w:rsid w:val="51960CEF"/>
    <w:rsid w:val="519D207E"/>
    <w:rsid w:val="529E7E5B"/>
    <w:rsid w:val="55A968D1"/>
    <w:rsid w:val="57BE4AFC"/>
    <w:rsid w:val="57F76956"/>
    <w:rsid w:val="581B3CFC"/>
    <w:rsid w:val="5BA2386D"/>
    <w:rsid w:val="5BC77AB3"/>
    <w:rsid w:val="607E12CC"/>
    <w:rsid w:val="61FC5238"/>
    <w:rsid w:val="64C17B6F"/>
    <w:rsid w:val="657A20C5"/>
    <w:rsid w:val="65D80C76"/>
    <w:rsid w:val="662755BF"/>
    <w:rsid w:val="6659436D"/>
    <w:rsid w:val="68776D2D"/>
    <w:rsid w:val="691A158F"/>
    <w:rsid w:val="696B0F98"/>
    <w:rsid w:val="6BD46244"/>
    <w:rsid w:val="72516841"/>
    <w:rsid w:val="73C03CF9"/>
    <w:rsid w:val="75AE65C4"/>
    <w:rsid w:val="78C4546F"/>
    <w:rsid w:val="7A4F18B8"/>
    <w:rsid w:val="7BCE6B3D"/>
    <w:rsid w:val="7C0637E3"/>
    <w:rsid w:val="7E8B7A80"/>
    <w:rsid w:val="7FB60A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3">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4">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5">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8">
    <w:name w:val="Default Paragraph Font"/>
    <w:autoRedefine/>
    <w:unhideWhenUsed/>
    <w:qFormat/>
    <w:uiPriority w:val="1"/>
  </w:style>
  <w:style w:type="table" w:default="1" w:styleId="16">
    <w:name w:val="Normal Table"/>
    <w:unhideWhenUsed/>
    <w:qFormat/>
    <w:uiPriority w:val="99"/>
    <w:tblPr>
      <w:tblCellMar>
        <w:top w:w="0" w:type="dxa"/>
        <w:left w:w="108" w:type="dxa"/>
        <w:bottom w:w="0" w:type="dxa"/>
        <w:right w:w="108" w:type="dxa"/>
      </w:tblCellMar>
    </w:tblPr>
  </w:style>
  <w:style w:type="paragraph" w:styleId="6">
    <w:name w:val="Body Text"/>
    <w:basedOn w:val="1"/>
    <w:qFormat/>
    <w:uiPriority w:val="99"/>
    <w:rPr>
      <w:szCs w:val="20"/>
    </w:rPr>
  </w:style>
  <w:style w:type="paragraph" w:styleId="7">
    <w:name w:val="Body Text Indent"/>
    <w:basedOn w:val="1"/>
    <w:next w:val="8"/>
    <w:qFormat/>
    <w:uiPriority w:val="0"/>
    <w:pPr>
      <w:ind w:firstLine="830" w:firstLineChars="352"/>
    </w:pPr>
    <w:rPr>
      <w:rFonts w:ascii="仿宋_GB2312" w:eastAsia="仿宋_GB2312"/>
      <w:kern w:val="0"/>
      <w:sz w:val="32"/>
      <w:szCs w:val="20"/>
    </w:rPr>
  </w:style>
  <w:style w:type="paragraph" w:customStyle="1" w:styleId="8">
    <w:name w:val="样式 正文文本缩进 + 首行缩进:  2 字符 行距: 1.5 倍行距"/>
    <w:basedOn w:val="7"/>
    <w:qFormat/>
    <w:uiPriority w:val="99"/>
    <w:rPr>
      <w:rFonts w:cs="宋体"/>
    </w:rPr>
  </w:style>
  <w:style w:type="paragraph" w:styleId="9">
    <w:name w:val="Date"/>
    <w:basedOn w:val="1"/>
    <w:next w:val="1"/>
    <w:qFormat/>
    <w:uiPriority w:val="99"/>
    <w:rPr>
      <w:szCs w:val="20"/>
    </w:rPr>
  </w:style>
  <w:style w:type="paragraph" w:styleId="10">
    <w:name w:val="footer"/>
    <w:basedOn w:val="1"/>
    <w:link w:val="22"/>
    <w:qFormat/>
    <w:uiPriority w:val="0"/>
    <w:pPr>
      <w:tabs>
        <w:tab w:val="center" w:pos="4153"/>
        <w:tab w:val="right" w:pos="8306"/>
      </w:tabs>
      <w:snapToGrid w:val="0"/>
      <w:jc w:val="left"/>
    </w:pPr>
    <w:rPr>
      <w:sz w:val="18"/>
      <w:szCs w:val="18"/>
    </w:rPr>
  </w:style>
  <w:style w:type="paragraph" w:styleId="11">
    <w:name w:val="header"/>
    <w:basedOn w:val="1"/>
    <w:link w:val="21"/>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unhideWhenUsed/>
    <w:qFormat/>
    <w:uiPriority w:val="39"/>
  </w:style>
  <w:style w:type="paragraph" w:styleId="13">
    <w:name w:val="Normal (Web)"/>
    <w:basedOn w:val="1"/>
    <w:qFormat/>
    <w:uiPriority w:val="0"/>
    <w:pPr>
      <w:spacing w:beforeAutospacing="1" w:afterAutospacing="1"/>
      <w:jc w:val="left"/>
    </w:pPr>
    <w:rPr>
      <w:rFonts w:cs="Times New Roman"/>
      <w:kern w:val="0"/>
      <w:sz w:val="24"/>
    </w:rPr>
  </w:style>
  <w:style w:type="paragraph" w:styleId="14">
    <w:name w:val="Body Text First Indent 2"/>
    <w:basedOn w:val="7"/>
    <w:next w:val="15"/>
    <w:qFormat/>
    <w:uiPriority w:val="99"/>
    <w:pPr>
      <w:ind w:firstLine="420" w:firstLineChars="200"/>
    </w:pPr>
  </w:style>
  <w:style w:type="paragraph" w:customStyle="1" w:styleId="15">
    <w:name w:val="**正文"/>
    <w:basedOn w:val="1"/>
    <w:qFormat/>
    <w:uiPriority w:val="99"/>
    <w:pPr>
      <w:ind w:firstLine="482"/>
    </w:pPr>
    <w:rPr>
      <w:rFonts w:ascii="宋体" w:hAnsi="宋体"/>
      <w:sz w:val="24"/>
    </w:rPr>
  </w:style>
  <w:style w:type="table" w:styleId="17">
    <w:name w:val="Table Grid"/>
    <w:basedOn w:val="16"/>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Hyperlink"/>
    <w:basedOn w:val="18"/>
    <w:qFormat/>
    <w:uiPriority w:val="0"/>
    <w:rPr>
      <w:color w:val="0000FF"/>
      <w:u w:val="single"/>
    </w:rPr>
  </w:style>
  <w:style w:type="character" w:customStyle="1" w:styleId="21">
    <w:name w:val="页眉 Char"/>
    <w:basedOn w:val="18"/>
    <w:link w:val="11"/>
    <w:qFormat/>
    <w:uiPriority w:val="0"/>
    <w:rPr>
      <w:rFonts w:asciiTheme="minorHAnsi" w:hAnsiTheme="minorHAnsi" w:eastAsiaTheme="minorEastAsia" w:cstheme="minorBidi"/>
      <w:kern w:val="2"/>
      <w:sz w:val="18"/>
      <w:szCs w:val="18"/>
    </w:rPr>
  </w:style>
  <w:style w:type="character" w:customStyle="1" w:styleId="22">
    <w:name w:val="页脚 Char"/>
    <w:basedOn w:val="18"/>
    <w:link w:val="10"/>
    <w:qFormat/>
    <w:uiPriority w:val="0"/>
    <w:rPr>
      <w:rFonts w:asciiTheme="minorHAnsi" w:hAnsiTheme="minorHAnsi" w:eastAsiaTheme="minorEastAsia" w:cstheme="minorBidi"/>
      <w:kern w:val="2"/>
      <w:sz w:val="18"/>
      <w:szCs w:val="18"/>
    </w:rPr>
  </w:style>
  <w:style w:type="paragraph" w:customStyle="1" w:styleId="23">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10</Pages>
  <Words>3922</Words>
  <Characters>4554</Characters>
  <Lines>5</Lines>
  <Paragraphs>1</Paragraphs>
  <TotalTime>1</TotalTime>
  <ScaleCrop>false</ScaleCrop>
  <LinksUpToDate>false</LinksUpToDate>
  <CharactersWithSpaces>4663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天涯游子</cp:lastModifiedBy>
  <cp:lastPrinted>2024-05-11T00:35:00Z</cp:lastPrinted>
  <dcterms:modified xsi:type="dcterms:W3CDTF">2025-10-16T08:28:29Z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37410562BED7475383DED8D256B6A047_13</vt:lpwstr>
  </property>
  <property fmtid="{D5CDD505-2E9C-101B-9397-08002B2CF9AE}" pid="4" name="KSOTemplateDocerSaveRecord">
    <vt:lpwstr>eyJoZGlkIjoiYWZmZjQyYjZlMzdlMWI1ZDcyNTQ2N2JmYzFkNjFjOGYiLCJ1c2VySWQiOiIyNzU1MzQ3MjkifQ==</vt:lpwstr>
  </property>
</Properties>
</file>