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61867D">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color="auto" w:fill="FDFDFE"/>
        <w:spacing w:before="210" w:beforeAutospacing="0" w:after="0" w:afterAutospacing="0" w:line="26" w:lineRule="atLeast"/>
        <w:ind w:left="0" w:right="0" w:firstLine="0"/>
        <w:jc w:val="center"/>
        <w:rPr>
          <w:rFonts w:hint="eastAsia" w:ascii="Segoe UI" w:hAnsi="Segoe UI" w:eastAsia="宋体" w:cs="Segoe UI"/>
          <w:i w:val="0"/>
          <w:iCs w:val="0"/>
          <w:caps w:val="0"/>
          <w:color w:val="05073B"/>
          <w:spacing w:val="0"/>
          <w:sz w:val="22"/>
          <w:szCs w:val="22"/>
          <w:lang w:val="en-US" w:eastAsia="zh-CN"/>
        </w:rPr>
      </w:pPr>
      <w:r>
        <w:rPr>
          <w:rStyle w:val="15"/>
          <w:rFonts w:hint="eastAsia" w:ascii="Segoe UI" w:hAnsi="Segoe UI" w:cs="Segoe UI"/>
          <w:b/>
          <w:bCs/>
          <w:i w:val="0"/>
          <w:iCs w:val="0"/>
          <w:caps w:val="0"/>
          <w:color w:val="05073B"/>
          <w:spacing w:val="0"/>
          <w:sz w:val="22"/>
          <w:szCs w:val="22"/>
          <w:shd w:val="clear" w:color="auto" w:fill="FDFDFE"/>
          <w:lang w:eastAsia="zh-CN"/>
        </w:rPr>
        <w:t>贺州市中医医院</w:t>
      </w:r>
      <w:r>
        <w:rPr>
          <w:rStyle w:val="15"/>
          <w:rFonts w:hint="default" w:ascii="Segoe UI" w:hAnsi="Segoe UI" w:eastAsia="Segoe UI" w:cs="Segoe UI"/>
          <w:b/>
          <w:bCs/>
          <w:i w:val="0"/>
          <w:iCs w:val="0"/>
          <w:caps w:val="0"/>
          <w:color w:val="05073B"/>
          <w:spacing w:val="0"/>
          <w:sz w:val="22"/>
          <w:szCs w:val="22"/>
          <w:shd w:val="clear" w:color="auto" w:fill="FDFDFE"/>
        </w:rPr>
        <w:t>设备采购市场调研</w:t>
      </w:r>
      <w:r>
        <w:rPr>
          <w:rStyle w:val="15"/>
          <w:rFonts w:hint="eastAsia" w:ascii="Segoe UI" w:hAnsi="Segoe UI" w:eastAsia="宋体" w:cs="Segoe UI"/>
          <w:b/>
          <w:bCs/>
          <w:i w:val="0"/>
          <w:iCs w:val="0"/>
          <w:caps w:val="0"/>
          <w:color w:val="05073B"/>
          <w:spacing w:val="0"/>
          <w:sz w:val="22"/>
          <w:szCs w:val="22"/>
          <w:shd w:val="clear" w:color="auto" w:fill="FDFDFE"/>
          <w:lang w:eastAsia="zh-CN"/>
        </w:rPr>
        <w:t>问卷</w:t>
      </w:r>
    </w:p>
    <w:p w14:paraId="21B374A7">
      <w:pPr>
        <w:rPr>
          <w:rFonts w:hint="eastAsia" w:eastAsiaTheme="minorEastAsia"/>
          <w:lang w:val="en-US" w:eastAsia="zh-CN"/>
        </w:rPr>
      </w:pPr>
      <w:r>
        <w:rPr>
          <w:rFonts w:hint="eastAsia"/>
          <w:lang w:val="en-US" w:eastAsia="zh-CN"/>
        </w:rPr>
        <w:t>各潜在供应商：</w:t>
      </w:r>
    </w:p>
    <w:p w14:paraId="346C478E">
      <w:pPr>
        <w:spacing w:line="400" w:lineRule="exact"/>
        <w:ind w:firstLine="420" w:firstLineChars="200"/>
      </w:pPr>
      <w:r>
        <w:rPr>
          <w:rFonts w:hint="eastAsia"/>
        </w:rPr>
        <w:t>为加强政府采购需求管理，确保采购需求的完整性及明确性，实现政府采购项目绩效目标，</w:t>
      </w:r>
      <w:r>
        <w:rPr>
          <w:rFonts w:hint="eastAsia"/>
          <w:lang w:eastAsia="zh-CN"/>
        </w:rPr>
        <w:t>特</w:t>
      </w:r>
      <w:r>
        <w:rPr>
          <w:rFonts w:hint="eastAsia"/>
        </w:rPr>
        <w:t>向潜在供应商开展采购需求调查，现将有关事宜公告如下：</w:t>
      </w:r>
    </w:p>
    <w:p w14:paraId="77537247">
      <w:pPr>
        <w:spacing w:line="400" w:lineRule="exact"/>
        <w:ind w:firstLine="420" w:firstLineChars="200"/>
      </w:pPr>
      <w:r>
        <w:rPr>
          <w:rFonts w:hint="eastAsia"/>
        </w:rPr>
        <w:t>一、调查内容</w:t>
      </w:r>
    </w:p>
    <w:p w14:paraId="2F17C44F">
      <w:pPr>
        <w:spacing w:line="400" w:lineRule="exact"/>
        <w:ind w:firstLine="420" w:firstLineChars="200"/>
      </w:pPr>
      <w:r>
        <w:rPr>
          <w:rFonts w:hint="eastAsia"/>
        </w:rPr>
        <w:t>项目名称：贺州市中医医院设备采购</w:t>
      </w:r>
    </w:p>
    <w:tbl>
      <w:tblPr>
        <w:tblStyle w:val="12"/>
        <w:tblW w:w="9614" w:type="dxa"/>
        <w:tblInd w:w="0" w:type="dxa"/>
        <w:tblLayout w:type="fixed"/>
        <w:tblCellMar>
          <w:top w:w="0" w:type="dxa"/>
          <w:left w:w="0" w:type="dxa"/>
          <w:bottom w:w="0" w:type="dxa"/>
          <w:right w:w="0" w:type="dxa"/>
        </w:tblCellMar>
      </w:tblPr>
      <w:tblGrid>
        <w:gridCol w:w="704"/>
        <w:gridCol w:w="1200"/>
        <w:gridCol w:w="675"/>
        <w:gridCol w:w="6315"/>
        <w:gridCol w:w="720"/>
      </w:tblGrid>
      <w:tr w14:paraId="2512E27A">
        <w:tblPrEx>
          <w:tblCellMar>
            <w:top w:w="0" w:type="dxa"/>
            <w:left w:w="0" w:type="dxa"/>
            <w:bottom w:w="0" w:type="dxa"/>
            <w:right w:w="0" w:type="dxa"/>
          </w:tblCellMar>
        </w:tblPrEx>
        <w:trPr>
          <w:trHeight w:val="375" w:hRule="atLeast"/>
        </w:trPr>
        <w:tc>
          <w:tcPr>
            <w:tcW w:w="704"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0B2365D">
            <w:pPr>
              <w:spacing w:line="400" w:lineRule="exact"/>
              <w:jc w:val="center"/>
            </w:pPr>
            <w:r>
              <w:rPr>
                <w:rFonts w:hint="eastAsia"/>
              </w:rPr>
              <w:t>序号</w:t>
            </w:r>
          </w:p>
        </w:tc>
        <w:tc>
          <w:tcPr>
            <w:tcW w:w="1200"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28C0046B">
            <w:pPr>
              <w:spacing w:line="400" w:lineRule="exact"/>
              <w:jc w:val="center"/>
            </w:pPr>
            <w:r>
              <w:rPr>
                <w:rFonts w:hint="eastAsia"/>
              </w:rPr>
              <w:t>产品名称</w:t>
            </w:r>
          </w:p>
        </w:tc>
        <w:tc>
          <w:tcPr>
            <w:tcW w:w="675"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5FB61102">
            <w:pPr>
              <w:spacing w:line="400" w:lineRule="exact"/>
              <w:jc w:val="center"/>
            </w:pPr>
            <w:r>
              <w:rPr>
                <w:rFonts w:hint="eastAsia"/>
              </w:rPr>
              <w:t>数量</w:t>
            </w:r>
          </w:p>
        </w:tc>
        <w:tc>
          <w:tcPr>
            <w:tcW w:w="6315"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33FC82CC">
            <w:pPr>
              <w:spacing w:line="400" w:lineRule="exact"/>
              <w:jc w:val="center"/>
            </w:pPr>
            <w:r>
              <w:rPr>
                <w:rFonts w:hint="eastAsia"/>
              </w:rPr>
              <w:t>简要技术规格</w:t>
            </w:r>
          </w:p>
        </w:tc>
        <w:tc>
          <w:tcPr>
            <w:tcW w:w="720"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2933AEB6">
            <w:pPr>
              <w:spacing w:line="400" w:lineRule="exact"/>
              <w:jc w:val="center"/>
            </w:pPr>
            <w:r>
              <w:rPr>
                <w:rFonts w:hint="eastAsia"/>
              </w:rPr>
              <w:t>备注</w:t>
            </w:r>
          </w:p>
        </w:tc>
      </w:tr>
      <w:tr w14:paraId="185C7CC5">
        <w:tblPrEx>
          <w:tblCellMar>
            <w:top w:w="0" w:type="dxa"/>
            <w:left w:w="0" w:type="dxa"/>
            <w:bottom w:w="0" w:type="dxa"/>
            <w:right w:w="0" w:type="dxa"/>
          </w:tblCellMar>
        </w:tblPrEx>
        <w:trPr>
          <w:trHeight w:val="822" w:hRule="atLeast"/>
        </w:trPr>
        <w:tc>
          <w:tcPr>
            <w:tcW w:w="704" w:type="dxa"/>
            <w:tcBorders>
              <w:top w:val="nil"/>
              <w:left w:val="single" w:color="auto" w:sz="6" w:space="0"/>
              <w:bottom w:val="nil"/>
              <w:right w:val="single" w:color="auto" w:sz="6" w:space="0"/>
            </w:tcBorders>
            <w:shd w:val="clear" w:color="auto" w:fill="auto"/>
            <w:tcMar>
              <w:left w:w="105" w:type="dxa"/>
              <w:right w:w="105" w:type="dxa"/>
            </w:tcMar>
            <w:vAlign w:val="center"/>
          </w:tcPr>
          <w:p w14:paraId="15314390">
            <w:pPr>
              <w:spacing w:line="400" w:lineRule="exact"/>
              <w:jc w:val="center"/>
            </w:pPr>
            <w:r>
              <w:rPr>
                <w:rFonts w:hint="eastAsia"/>
              </w:rPr>
              <w:t>1</w:t>
            </w:r>
          </w:p>
        </w:tc>
        <w:tc>
          <w:tcPr>
            <w:tcW w:w="1200" w:type="dxa"/>
            <w:tcBorders>
              <w:top w:val="nil"/>
              <w:left w:val="nil"/>
              <w:bottom w:val="nil"/>
              <w:right w:val="single" w:color="auto" w:sz="6" w:space="0"/>
            </w:tcBorders>
            <w:shd w:val="clear" w:color="auto" w:fill="auto"/>
            <w:tcMar>
              <w:left w:w="105" w:type="dxa"/>
              <w:right w:w="105" w:type="dxa"/>
            </w:tcMar>
            <w:vAlign w:val="center"/>
          </w:tcPr>
          <w:p w14:paraId="32592985">
            <w:pPr>
              <w:spacing w:line="400" w:lineRule="exact"/>
              <w:jc w:val="center"/>
              <w:rPr>
                <w:rFonts w:hint="eastAsia" w:eastAsiaTheme="minorEastAsia"/>
                <w:lang w:val="en-US" w:eastAsia="zh-CN"/>
              </w:rPr>
            </w:pPr>
            <w:r>
              <w:rPr>
                <w:rFonts w:hint="eastAsia"/>
                <w:lang w:val="en-US" w:eastAsia="zh-CN"/>
              </w:rPr>
              <w:t>彩色超声多普勒诊断系统（全身型A）</w:t>
            </w:r>
          </w:p>
        </w:tc>
        <w:tc>
          <w:tcPr>
            <w:tcW w:w="675" w:type="dxa"/>
            <w:tcBorders>
              <w:top w:val="nil"/>
              <w:left w:val="nil"/>
              <w:bottom w:val="nil"/>
              <w:right w:val="single" w:color="auto" w:sz="6" w:space="0"/>
            </w:tcBorders>
            <w:shd w:val="clear" w:color="auto" w:fill="auto"/>
            <w:tcMar>
              <w:left w:w="105" w:type="dxa"/>
              <w:right w:w="105" w:type="dxa"/>
            </w:tcMar>
            <w:vAlign w:val="center"/>
          </w:tcPr>
          <w:p w14:paraId="01DE118B">
            <w:pPr>
              <w:spacing w:line="400" w:lineRule="exact"/>
              <w:jc w:val="center"/>
              <w:rPr>
                <w:rFonts w:hint="eastAsia" w:eastAsiaTheme="minorEastAsia"/>
                <w:lang w:val="en-US" w:eastAsia="zh-CN"/>
              </w:rPr>
            </w:pPr>
            <w:r>
              <w:rPr>
                <w:rFonts w:hint="eastAsia"/>
                <w:lang w:val="en-US" w:eastAsia="zh-CN"/>
              </w:rPr>
              <w:t>1套</w:t>
            </w:r>
          </w:p>
        </w:tc>
        <w:tc>
          <w:tcPr>
            <w:tcW w:w="6315" w:type="dxa"/>
            <w:tcBorders>
              <w:top w:val="nil"/>
              <w:left w:val="nil"/>
              <w:bottom w:val="nil"/>
              <w:right w:val="single" w:color="auto" w:sz="6" w:space="0"/>
            </w:tcBorders>
            <w:shd w:val="clear" w:color="auto" w:fill="auto"/>
            <w:tcMar>
              <w:left w:w="105" w:type="dxa"/>
              <w:right w:w="105" w:type="dxa"/>
            </w:tcMar>
            <w:vAlign w:val="center"/>
          </w:tcPr>
          <w:p w14:paraId="110FCBDB">
            <w:pPr>
              <w:spacing w:line="240" w:lineRule="auto"/>
              <w:jc w:val="left"/>
              <w:rPr>
                <w:rFonts w:hint="eastAsia"/>
                <w:lang w:val="en-US" w:eastAsia="zh-CN"/>
              </w:rPr>
            </w:pPr>
            <w:r>
              <w:rPr>
                <w:rFonts w:hint="eastAsia"/>
                <w:lang w:val="en-US" w:eastAsia="zh-CN"/>
              </w:rPr>
              <w:t>一、设备名称：彩色超声诊断设备</w:t>
            </w:r>
          </w:p>
          <w:p w14:paraId="3A8ABF89">
            <w:pPr>
              <w:spacing w:line="240" w:lineRule="auto"/>
              <w:jc w:val="left"/>
              <w:rPr>
                <w:rFonts w:hint="eastAsia"/>
                <w:lang w:val="en-US" w:eastAsia="zh-CN"/>
              </w:rPr>
            </w:pPr>
            <w:r>
              <w:rPr>
                <w:rFonts w:hint="eastAsia"/>
                <w:lang w:val="en-US" w:eastAsia="zh-CN"/>
              </w:rPr>
              <w:t>二、用途：主要用于腹部、妇产、胎儿心脏、成人心脏、血管、浅表小器官、肌骨、神经、泌尿、儿科、腔内、术中、介入等方面的临床诊断、科研教学、疑难病例会诊工作， 具备持续升级 能力， 可以满足临床应用需求的拓展。</w:t>
            </w:r>
          </w:p>
          <w:p w14:paraId="45308CCD">
            <w:pPr>
              <w:spacing w:line="240" w:lineRule="auto"/>
              <w:jc w:val="left"/>
              <w:rPr>
                <w:rFonts w:hint="eastAsia"/>
                <w:lang w:val="en-US" w:eastAsia="zh-CN"/>
              </w:rPr>
            </w:pPr>
            <w:r>
              <w:rPr>
                <w:rFonts w:hint="eastAsia"/>
                <w:lang w:val="en-US" w:eastAsia="zh-CN"/>
              </w:rPr>
              <w:t>三、主要技术规格及系统概述：</w:t>
            </w:r>
          </w:p>
          <w:p w14:paraId="6DB7AAAD">
            <w:pPr>
              <w:spacing w:line="240" w:lineRule="auto"/>
              <w:jc w:val="left"/>
              <w:rPr>
                <w:rFonts w:hint="eastAsia"/>
                <w:lang w:val="en-US" w:eastAsia="zh-CN"/>
              </w:rPr>
            </w:pPr>
            <w:r>
              <w:rPr>
                <w:rFonts w:hint="eastAsia"/>
                <w:lang w:val="en-US" w:eastAsia="zh-CN"/>
              </w:rPr>
              <w:t>3.1   彩色多普勒超声波诊断仪包括：</w:t>
            </w:r>
          </w:p>
          <w:p w14:paraId="6DE11368">
            <w:pPr>
              <w:spacing w:line="240" w:lineRule="auto"/>
              <w:jc w:val="left"/>
              <w:rPr>
                <w:rFonts w:hint="eastAsia"/>
                <w:lang w:val="en-US" w:eastAsia="zh-CN"/>
              </w:rPr>
            </w:pPr>
            <w:r>
              <w:rPr>
                <w:rFonts w:hint="eastAsia"/>
                <w:lang w:val="en-US" w:eastAsia="zh-CN"/>
              </w:rPr>
              <w:t>3.1.1     ≥23 英寸高分辨率监视器， 分辨率 1920x1080，具备自由臂设计， 可实现上下左右多方位调节</w:t>
            </w:r>
          </w:p>
          <w:p w14:paraId="071667B2">
            <w:pPr>
              <w:spacing w:line="240" w:lineRule="auto"/>
              <w:jc w:val="left"/>
              <w:rPr>
                <w:rFonts w:hint="eastAsia"/>
                <w:lang w:val="en-US" w:eastAsia="zh-CN"/>
              </w:rPr>
            </w:pPr>
            <w:r>
              <w:rPr>
                <w:rFonts w:hint="eastAsia"/>
                <w:lang w:val="en-US" w:eastAsia="zh-CN"/>
              </w:rPr>
              <w:t>3.1.2     ≥10.4 英寸彩色液晶触摸屏</w:t>
            </w:r>
          </w:p>
          <w:p w14:paraId="2A732289">
            <w:pPr>
              <w:spacing w:line="240" w:lineRule="auto"/>
              <w:jc w:val="left"/>
              <w:rPr>
                <w:rFonts w:hint="eastAsia"/>
                <w:lang w:val="en-US" w:eastAsia="zh-CN"/>
              </w:rPr>
            </w:pPr>
            <w:r>
              <w:rPr>
                <w:rFonts w:hint="eastAsia"/>
                <w:lang w:val="en-US" w:eastAsia="zh-CN"/>
              </w:rPr>
              <w:t>3.1.3     操作面板可旋转，高度可调</w:t>
            </w:r>
          </w:p>
          <w:p w14:paraId="1FD24B18">
            <w:pPr>
              <w:spacing w:line="240" w:lineRule="auto"/>
              <w:jc w:val="left"/>
              <w:rPr>
                <w:rFonts w:hint="eastAsia"/>
                <w:lang w:val="en-US" w:eastAsia="zh-CN"/>
              </w:rPr>
            </w:pPr>
            <w:r>
              <w:rPr>
                <w:rFonts w:hint="eastAsia"/>
                <w:lang w:val="en-US" w:eastAsia="zh-CN"/>
              </w:rPr>
              <w:t>3.1.4     全程实时连续动态聚焦技术</w:t>
            </w:r>
          </w:p>
          <w:p w14:paraId="24C4E65F">
            <w:pPr>
              <w:spacing w:line="240" w:lineRule="auto"/>
              <w:jc w:val="left"/>
              <w:rPr>
                <w:rFonts w:hint="eastAsia"/>
                <w:lang w:val="en-US" w:eastAsia="zh-CN"/>
              </w:rPr>
            </w:pPr>
            <w:r>
              <w:rPr>
                <w:rFonts w:hint="eastAsia"/>
                <w:lang w:val="en-US" w:eastAsia="zh-CN"/>
              </w:rPr>
              <w:t>3.1.5     数字化高分辨率二维灰阶成像单元</w:t>
            </w:r>
          </w:p>
          <w:p w14:paraId="084AF976">
            <w:pPr>
              <w:spacing w:line="240" w:lineRule="auto"/>
              <w:jc w:val="left"/>
              <w:rPr>
                <w:rFonts w:hint="eastAsia"/>
                <w:lang w:val="en-US" w:eastAsia="zh-CN"/>
              </w:rPr>
            </w:pPr>
            <w:r>
              <w:rPr>
                <w:rFonts w:hint="eastAsia"/>
                <w:lang w:val="en-US" w:eastAsia="zh-CN"/>
              </w:rPr>
              <w:t>3.1.6     数字化高分辨率彩色多普勒血流成像单元</w:t>
            </w:r>
          </w:p>
          <w:p w14:paraId="47AF02D1">
            <w:pPr>
              <w:spacing w:line="240" w:lineRule="auto"/>
              <w:jc w:val="left"/>
              <w:rPr>
                <w:rFonts w:hint="eastAsia"/>
                <w:lang w:val="en-US" w:eastAsia="zh-CN"/>
              </w:rPr>
            </w:pPr>
            <w:r>
              <w:rPr>
                <w:rFonts w:hint="eastAsia"/>
                <w:lang w:val="en-US" w:eastAsia="zh-CN"/>
              </w:rPr>
              <w:t>3.1.7     数字化能量多普勒血流成像单元</w:t>
            </w:r>
          </w:p>
          <w:p w14:paraId="7E6AB4AF">
            <w:pPr>
              <w:spacing w:line="240" w:lineRule="auto"/>
              <w:jc w:val="left"/>
              <w:rPr>
                <w:rFonts w:hint="eastAsia"/>
                <w:lang w:val="en-US" w:eastAsia="zh-CN"/>
              </w:rPr>
            </w:pPr>
            <w:r>
              <w:rPr>
                <w:rFonts w:hint="eastAsia"/>
                <w:lang w:val="en-US" w:eastAsia="zh-CN"/>
              </w:rPr>
              <w:t>3.1.8     数字化频谱多普勒显示及分析单元</w:t>
            </w:r>
          </w:p>
          <w:p w14:paraId="0B2EA22D">
            <w:pPr>
              <w:spacing w:line="240" w:lineRule="auto"/>
              <w:jc w:val="left"/>
              <w:rPr>
                <w:rFonts w:hint="eastAsia"/>
                <w:lang w:val="en-US" w:eastAsia="zh-CN"/>
              </w:rPr>
            </w:pPr>
            <w:r>
              <w:rPr>
                <w:rFonts w:hint="eastAsia"/>
                <w:lang w:val="en-US" w:eastAsia="zh-CN"/>
              </w:rPr>
              <w:t>3.1.9     数字化 M 型显示及分析单元</w:t>
            </w:r>
          </w:p>
          <w:p w14:paraId="5EF60223">
            <w:pPr>
              <w:spacing w:line="240" w:lineRule="auto"/>
              <w:jc w:val="left"/>
              <w:rPr>
                <w:rFonts w:hint="eastAsia"/>
                <w:lang w:val="en-US" w:eastAsia="zh-CN"/>
              </w:rPr>
            </w:pPr>
            <w:r>
              <w:rPr>
                <w:rFonts w:hint="eastAsia"/>
                <w:lang w:val="en-US" w:eastAsia="zh-CN"/>
              </w:rPr>
              <w:t>*3.1.10   具备解剖 M 型技术，可 360°旋转取样线角度及任意移动置</w:t>
            </w:r>
          </w:p>
          <w:p w14:paraId="7A2E936A">
            <w:pPr>
              <w:spacing w:line="240" w:lineRule="auto"/>
              <w:jc w:val="left"/>
              <w:rPr>
                <w:rFonts w:hint="eastAsia"/>
                <w:lang w:val="en-US" w:eastAsia="zh-CN"/>
              </w:rPr>
            </w:pPr>
            <w:r>
              <w:rPr>
                <w:rFonts w:hint="eastAsia"/>
                <w:lang w:val="en-US" w:eastAsia="zh-CN"/>
              </w:rPr>
              <w:t xml:space="preserve">        3.1.10.1   图像冻结前后均可取 M 型</w:t>
            </w:r>
          </w:p>
          <w:p w14:paraId="73EC5E28">
            <w:pPr>
              <w:spacing w:line="240" w:lineRule="auto"/>
              <w:jc w:val="left"/>
              <w:rPr>
                <w:rFonts w:hint="eastAsia"/>
                <w:lang w:val="en-US" w:eastAsia="zh-CN"/>
              </w:rPr>
            </w:pPr>
            <w:r>
              <w:rPr>
                <w:rFonts w:hint="eastAsia"/>
                <w:lang w:val="en-US" w:eastAsia="zh-CN"/>
              </w:rPr>
              <w:t>3.1.10.2   M 型取样线≥3 条</w:t>
            </w:r>
          </w:p>
          <w:p w14:paraId="1AF6B371">
            <w:pPr>
              <w:spacing w:line="240" w:lineRule="auto"/>
              <w:jc w:val="left"/>
              <w:rPr>
                <w:rFonts w:hint="eastAsia"/>
                <w:lang w:val="en-US" w:eastAsia="zh-CN"/>
              </w:rPr>
            </w:pPr>
            <w:r>
              <w:rPr>
                <w:rFonts w:hint="eastAsia"/>
                <w:lang w:val="en-US" w:eastAsia="zh-CN"/>
              </w:rPr>
              <w:t>3.1.10.3   支持凸阵、线阵、相控阵探头</w:t>
            </w:r>
          </w:p>
          <w:p w14:paraId="0A9B9A21">
            <w:pPr>
              <w:spacing w:line="240" w:lineRule="auto"/>
              <w:jc w:val="left"/>
              <w:rPr>
                <w:rFonts w:hint="eastAsia"/>
                <w:lang w:val="en-US" w:eastAsia="zh-CN"/>
              </w:rPr>
            </w:pPr>
            <w:r>
              <w:rPr>
                <w:rFonts w:hint="eastAsia"/>
                <w:lang w:val="en-US" w:eastAsia="zh-CN"/>
              </w:rPr>
              <w:t>3.1.11   具备穿刺针增强显示功能，支持凸阵、线阵探头</w:t>
            </w:r>
          </w:p>
          <w:p w14:paraId="42AFAD3F">
            <w:pPr>
              <w:spacing w:line="240" w:lineRule="auto"/>
              <w:jc w:val="left"/>
              <w:rPr>
                <w:rFonts w:hint="eastAsia"/>
                <w:lang w:val="en-US" w:eastAsia="zh-CN"/>
              </w:rPr>
            </w:pPr>
            <w:r>
              <w:rPr>
                <w:rFonts w:hint="eastAsia"/>
                <w:lang w:val="en-US" w:eastAsia="zh-CN"/>
              </w:rPr>
              <w:t>3.1.12   具备组织多普勒成像单元</w:t>
            </w:r>
          </w:p>
          <w:p w14:paraId="1782FFA9">
            <w:pPr>
              <w:spacing w:line="240" w:lineRule="auto"/>
              <w:jc w:val="left"/>
              <w:rPr>
                <w:rFonts w:hint="eastAsia"/>
                <w:lang w:val="en-US" w:eastAsia="zh-CN"/>
              </w:rPr>
            </w:pPr>
            <w:r>
              <w:rPr>
                <w:rFonts w:hint="eastAsia"/>
                <w:lang w:val="en-US" w:eastAsia="zh-CN"/>
              </w:rPr>
              <w:t>3.1.13   具备空间复合成像技术（复合角度可调）</w:t>
            </w:r>
          </w:p>
          <w:p w14:paraId="05ED85DE">
            <w:pPr>
              <w:spacing w:line="240" w:lineRule="auto"/>
              <w:jc w:val="left"/>
              <w:rPr>
                <w:rFonts w:hint="eastAsia"/>
                <w:lang w:val="en-US" w:eastAsia="zh-CN"/>
              </w:rPr>
            </w:pPr>
            <w:r>
              <w:rPr>
                <w:rFonts w:hint="eastAsia"/>
                <w:lang w:val="en-US" w:eastAsia="zh-CN"/>
              </w:rPr>
              <w:t>3.1.14   具备组织谐波成像功能， ≥3 种不同方式的组织谐波成像</w:t>
            </w:r>
          </w:p>
          <w:p w14:paraId="21B70228">
            <w:pPr>
              <w:spacing w:line="240" w:lineRule="auto"/>
              <w:jc w:val="left"/>
              <w:rPr>
                <w:rFonts w:hint="eastAsia"/>
                <w:lang w:val="en-US" w:eastAsia="zh-CN"/>
              </w:rPr>
            </w:pPr>
            <w:r>
              <w:rPr>
                <w:rFonts w:hint="eastAsia"/>
                <w:lang w:val="en-US" w:eastAsia="zh-CN"/>
              </w:rPr>
              <w:t>3.1.15   具备图像一键优化技术， 可以一键快速优化二维图像、彩色图像、彩色取样框位置、频谱 图像、频谱取样门大小、取样门位置</w:t>
            </w:r>
          </w:p>
          <w:p w14:paraId="5F2809AD">
            <w:pPr>
              <w:spacing w:line="240" w:lineRule="auto"/>
              <w:jc w:val="left"/>
              <w:rPr>
                <w:rFonts w:hint="eastAsia"/>
                <w:lang w:val="en-US" w:eastAsia="zh-CN"/>
              </w:rPr>
            </w:pPr>
            <w:r>
              <w:rPr>
                <w:rFonts w:hint="eastAsia"/>
                <w:lang w:val="en-US" w:eastAsia="zh-CN"/>
              </w:rPr>
              <w:t xml:space="preserve">3.1.16   具备自适应成像技术， 智能化解析滤波技术， 抑制图像斑点噪声， 可分级调节≥8 级 </w:t>
            </w:r>
          </w:p>
          <w:p w14:paraId="53EC4CE1">
            <w:pPr>
              <w:spacing w:line="240" w:lineRule="auto"/>
              <w:jc w:val="left"/>
              <w:rPr>
                <w:rFonts w:hint="eastAsia"/>
                <w:lang w:val="en-US" w:eastAsia="zh-CN"/>
              </w:rPr>
            </w:pPr>
            <w:r>
              <w:rPr>
                <w:rFonts w:hint="eastAsia"/>
                <w:lang w:val="en-US" w:eastAsia="zh-CN"/>
              </w:rPr>
              <w:t xml:space="preserve">3.1.17   具备自动声速校正技术，自动匹配最佳成像声速，并将具体声速数值在屏幕上显示   </w:t>
            </w:r>
          </w:p>
          <w:p w14:paraId="1F7C3533">
            <w:pPr>
              <w:spacing w:line="240" w:lineRule="auto"/>
              <w:jc w:val="left"/>
              <w:rPr>
                <w:rFonts w:hint="eastAsia"/>
                <w:lang w:val="en-US" w:eastAsia="zh-CN"/>
              </w:rPr>
            </w:pPr>
            <w:r>
              <w:rPr>
                <w:rFonts w:hint="eastAsia"/>
                <w:lang w:val="en-US" w:eastAsia="zh-CN"/>
              </w:rPr>
              <w:t>3.1.18   具备实时二同步/三同步显示技术</w:t>
            </w:r>
          </w:p>
          <w:p w14:paraId="0484E924">
            <w:pPr>
              <w:spacing w:line="240" w:lineRule="auto"/>
              <w:jc w:val="left"/>
              <w:rPr>
                <w:rFonts w:hint="eastAsia"/>
                <w:lang w:val="en-US" w:eastAsia="zh-CN"/>
              </w:rPr>
            </w:pPr>
            <w:r>
              <w:rPr>
                <w:rFonts w:hint="eastAsia"/>
                <w:lang w:val="en-US" w:eastAsia="zh-CN"/>
              </w:rPr>
              <w:t>3.1.19   具备梯形拓展成像功能，扩大扫查视野</w:t>
            </w:r>
          </w:p>
          <w:p w14:paraId="4FD50012">
            <w:pPr>
              <w:spacing w:line="240" w:lineRule="auto"/>
              <w:jc w:val="left"/>
              <w:rPr>
                <w:rFonts w:hint="eastAsia"/>
                <w:lang w:val="en-US" w:eastAsia="zh-CN"/>
              </w:rPr>
            </w:pPr>
            <w:r>
              <w:rPr>
                <w:rFonts w:hint="eastAsia"/>
                <w:lang w:val="en-US" w:eastAsia="zh-CN"/>
              </w:rPr>
              <w:t>3.1.20   具备高分辨率血流成像技术，高空间分辨率和时间分辨率显示血流信息，具备方向性显 示，可进行频谱测量</w:t>
            </w:r>
          </w:p>
          <w:p w14:paraId="4503A0E0">
            <w:pPr>
              <w:spacing w:line="240" w:lineRule="auto"/>
              <w:jc w:val="left"/>
              <w:rPr>
                <w:rFonts w:hint="eastAsia"/>
                <w:lang w:val="en-US" w:eastAsia="zh-CN"/>
              </w:rPr>
            </w:pPr>
            <w:r>
              <w:rPr>
                <w:rFonts w:hint="eastAsia"/>
                <w:lang w:val="en-US" w:eastAsia="zh-CN"/>
              </w:rPr>
              <w:t>3.1.21   具备二维立体血流成像技术，通过对二维彩色多普勒进行立体渲染，增强血流边界的显示及可视化效果，可以与彩色血流、彩色能量、高分辨率血流、超精微血流联合使用</w:t>
            </w:r>
          </w:p>
          <w:p w14:paraId="4E9550D1">
            <w:pPr>
              <w:spacing w:line="240" w:lineRule="auto"/>
              <w:jc w:val="left"/>
              <w:rPr>
                <w:rFonts w:hint="eastAsia"/>
                <w:lang w:val="en-US" w:eastAsia="zh-CN"/>
              </w:rPr>
            </w:pPr>
            <w:r>
              <w:rPr>
                <w:rFonts w:hint="eastAsia"/>
                <w:lang w:val="en-US" w:eastAsia="zh-CN"/>
              </w:rPr>
              <w:t xml:space="preserve">3.1.22   系统数字化通道≥7,072,000 </w:t>
            </w:r>
          </w:p>
          <w:p w14:paraId="1512C98E">
            <w:pPr>
              <w:spacing w:line="240" w:lineRule="auto"/>
              <w:jc w:val="left"/>
              <w:rPr>
                <w:rFonts w:hint="eastAsia"/>
                <w:lang w:val="en-US" w:eastAsia="zh-CN"/>
              </w:rPr>
            </w:pPr>
            <w:r>
              <w:rPr>
                <w:rFonts w:hint="eastAsia"/>
                <w:lang w:val="en-US" w:eastAsia="zh-CN"/>
              </w:rPr>
              <w:t>3.1.23   具备实时双幅同屏显示二维图像和回放图像功能</w:t>
            </w:r>
          </w:p>
          <w:p w14:paraId="2609214D">
            <w:pPr>
              <w:spacing w:line="240" w:lineRule="auto"/>
              <w:jc w:val="left"/>
              <w:rPr>
                <w:rFonts w:hint="eastAsia"/>
                <w:lang w:val="en-US" w:eastAsia="zh-CN"/>
              </w:rPr>
            </w:pPr>
            <w:r>
              <w:rPr>
                <w:rFonts w:hint="eastAsia"/>
                <w:lang w:val="en-US" w:eastAsia="zh-CN"/>
              </w:rPr>
              <w:t xml:space="preserve">*3.1.24  具备实时双幅同屏显示二维图像和慢放图像功能 </w:t>
            </w:r>
          </w:p>
          <w:p w14:paraId="50ECA33B">
            <w:pPr>
              <w:spacing w:line="240" w:lineRule="auto"/>
              <w:jc w:val="left"/>
              <w:rPr>
                <w:rFonts w:hint="eastAsia"/>
                <w:lang w:val="en-US" w:eastAsia="zh-CN"/>
              </w:rPr>
            </w:pPr>
            <w:r>
              <w:rPr>
                <w:rFonts w:hint="eastAsia"/>
                <w:lang w:val="en-US" w:eastAsia="zh-CN"/>
              </w:rPr>
              <w:t>3.1.24.1  慢放倍率可实时调节</w:t>
            </w:r>
          </w:p>
          <w:p w14:paraId="7F32FD7A">
            <w:pPr>
              <w:spacing w:line="240" w:lineRule="auto"/>
              <w:jc w:val="left"/>
              <w:rPr>
                <w:rFonts w:hint="eastAsia"/>
                <w:lang w:val="en-US" w:eastAsia="zh-CN"/>
              </w:rPr>
            </w:pPr>
            <w:r>
              <w:rPr>
                <w:rFonts w:hint="eastAsia"/>
                <w:lang w:val="en-US" w:eastAsia="zh-CN"/>
              </w:rPr>
              <w:t>3.1.24.2  慢放速度可达原速度 1/10</w:t>
            </w:r>
          </w:p>
          <w:p w14:paraId="41473255">
            <w:pPr>
              <w:spacing w:line="240" w:lineRule="auto"/>
              <w:jc w:val="left"/>
              <w:rPr>
                <w:rFonts w:hint="eastAsia"/>
                <w:lang w:val="en-US" w:eastAsia="zh-CN"/>
              </w:rPr>
            </w:pPr>
            <w:r>
              <w:rPr>
                <w:rFonts w:hint="eastAsia"/>
                <w:lang w:val="en-US" w:eastAsia="zh-CN"/>
              </w:rPr>
              <w:t>*3.1.25   具备实时多门多普勒功能，在同一心动周期内，可实时获取 2 个取样点的多普勒频谱，为临床提供更多血流动力学诊断信息</w:t>
            </w:r>
          </w:p>
          <w:p w14:paraId="39732E79">
            <w:pPr>
              <w:spacing w:line="240" w:lineRule="auto"/>
              <w:jc w:val="left"/>
              <w:rPr>
                <w:rFonts w:hint="eastAsia"/>
                <w:lang w:val="en-US" w:eastAsia="zh-CN"/>
              </w:rPr>
            </w:pPr>
            <w:r>
              <w:rPr>
                <w:rFonts w:hint="eastAsia"/>
                <w:lang w:val="en-US" w:eastAsia="zh-CN"/>
              </w:rPr>
              <w:t>3.1.25.1   ≥三种模式可选， PW&amp;PW、PW&amp;TDI、TDI&amp;TDI</w:t>
            </w:r>
          </w:p>
          <w:p w14:paraId="1B66E56C">
            <w:pPr>
              <w:spacing w:line="240" w:lineRule="auto"/>
              <w:jc w:val="left"/>
              <w:rPr>
                <w:rFonts w:hint="eastAsia"/>
                <w:lang w:val="en-US" w:eastAsia="zh-CN"/>
              </w:rPr>
            </w:pPr>
            <w:r>
              <w:rPr>
                <w:rFonts w:hint="eastAsia"/>
                <w:lang w:val="en-US" w:eastAsia="zh-CN"/>
              </w:rPr>
              <w:t xml:space="preserve">3.1.25.2   支持凸阵、线阵、相控阵探头   </w:t>
            </w:r>
          </w:p>
          <w:p w14:paraId="5D138FAC">
            <w:pPr>
              <w:spacing w:line="240" w:lineRule="auto"/>
              <w:jc w:val="left"/>
              <w:rPr>
                <w:rFonts w:hint="eastAsia"/>
                <w:lang w:val="en-US" w:eastAsia="zh-CN"/>
              </w:rPr>
            </w:pPr>
            <w:r>
              <w:rPr>
                <w:rFonts w:hint="eastAsia"/>
                <w:lang w:val="en-US" w:eastAsia="zh-CN"/>
              </w:rPr>
              <w:t xml:space="preserve">3.1.25.3   无需启动测量按键， 自动获得 E/e’测量分析 </w:t>
            </w:r>
          </w:p>
          <w:p w14:paraId="1EED870A">
            <w:pPr>
              <w:spacing w:line="240" w:lineRule="auto"/>
              <w:jc w:val="left"/>
              <w:rPr>
                <w:rFonts w:hint="eastAsia"/>
                <w:lang w:val="en-US" w:eastAsia="zh-CN"/>
              </w:rPr>
            </w:pPr>
            <w:r>
              <w:rPr>
                <w:rFonts w:hint="eastAsia"/>
                <w:lang w:val="en-US" w:eastAsia="zh-CN"/>
              </w:rPr>
              <w:t>3.1.26   具备超精微血流成像技术，采用智能特征空间自适应算法， 分析和滤除与低速血流叠加在一起的组织运动伪像，通过背景组织信号剪影的方式提升显像，且较以往更低的血流检 测阈值来提高极低速血流的敏感性和分辨率。</w:t>
            </w:r>
          </w:p>
          <w:p w14:paraId="32887539">
            <w:pPr>
              <w:spacing w:line="240" w:lineRule="auto"/>
              <w:jc w:val="left"/>
              <w:rPr>
                <w:rFonts w:hint="eastAsia"/>
                <w:lang w:val="en-US" w:eastAsia="zh-CN"/>
              </w:rPr>
            </w:pPr>
            <w:r>
              <w:rPr>
                <w:rFonts w:hint="eastAsia"/>
                <w:lang w:val="en-US" w:eastAsia="zh-CN"/>
              </w:rPr>
              <w:t>3.1.27   具备造影谐波成像功能</w:t>
            </w:r>
          </w:p>
          <w:p w14:paraId="2D6CE9B7">
            <w:pPr>
              <w:spacing w:line="240" w:lineRule="auto"/>
              <w:jc w:val="left"/>
              <w:rPr>
                <w:rFonts w:hint="eastAsia"/>
                <w:lang w:val="en-US" w:eastAsia="zh-CN"/>
              </w:rPr>
            </w:pPr>
            <w:r>
              <w:rPr>
                <w:rFonts w:hint="eastAsia"/>
                <w:lang w:val="en-US" w:eastAsia="zh-CN"/>
              </w:rPr>
              <w:t>3.1.27.1   具备低机械指数、高机械指数、振幅调制、反转脉冲等多模态造影技术</w:t>
            </w:r>
          </w:p>
          <w:p w14:paraId="7C2E0CA8">
            <w:pPr>
              <w:spacing w:line="240" w:lineRule="auto"/>
              <w:jc w:val="left"/>
              <w:rPr>
                <w:rFonts w:hint="eastAsia"/>
                <w:lang w:val="en-US" w:eastAsia="zh-CN"/>
              </w:rPr>
            </w:pPr>
            <w:r>
              <w:rPr>
                <w:rFonts w:hint="eastAsia"/>
                <w:lang w:val="en-US" w:eastAsia="zh-CN"/>
              </w:rPr>
              <w:t>3.1.27.2   具备 TIC 时间强度曲线分析</w:t>
            </w:r>
          </w:p>
          <w:p w14:paraId="3FD8C1B1">
            <w:pPr>
              <w:spacing w:line="240" w:lineRule="auto"/>
              <w:jc w:val="left"/>
              <w:rPr>
                <w:rFonts w:hint="eastAsia"/>
                <w:lang w:val="en-US" w:eastAsia="zh-CN"/>
              </w:rPr>
            </w:pPr>
            <w:r>
              <w:rPr>
                <w:rFonts w:hint="eastAsia"/>
                <w:lang w:val="en-US" w:eastAsia="zh-CN"/>
              </w:rPr>
              <w:t>3.1.27.3   具备实时状态下双计时器显示</w:t>
            </w:r>
          </w:p>
          <w:p w14:paraId="3809AFD8">
            <w:pPr>
              <w:spacing w:line="240" w:lineRule="auto"/>
              <w:jc w:val="left"/>
              <w:rPr>
                <w:rFonts w:hint="eastAsia"/>
                <w:lang w:val="en-US" w:eastAsia="zh-CN"/>
              </w:rPr>
            </w:pPr>
            <w:r>
              <w:rPr>
                <w:rFonts w:hint="eastAsia"/>
                <w:lang w:val="en-US" w:eastAsia="zh-CN"/>
              </w:rPr>
              <w:t>3.1.27.4   具备造影时序彩色编码成像技术，根据造影剂灌注时间进行彩色编码， 单一平 面内用不同颜色显示各组织间造影剂时序差别</w:t>
            </w:r>
          </w:p>
          <w:p w14:paraId="11120DC2">
            <w:pPr>
              <w:spacing w:line="240" w:lineRule="auto"/>
              <w:jc w:val="left"/>
              <w:rPr>
                <w:rFonts w:hint="eastAsia"/>
                <w:lang w:val="en-US" w:eastAsia="zh-CN"/>
              </w:rPr>
            </w:pPr>
            <w:r>
              <w:rPr>
                <w:rFonts w:hint="eastAsia"/>
                <w:lang w:val="en-US" w:eastAsia="zh-CN"/>
              </w:rPr>
              <w:t>3.1.27.5   具备实时微血管造影成像功能</w:t>
            </w:r>
          </w:p>
          <w:p w14:paraId="07A80985">
            <w:pPr>
              <w:spacing w:line="240" w:lineRule="auto"/>
              <w:jc w:val="left"/>
              <w:rPr>
                <w:rFonts w:hint="eastAsia"/>
                <w:lang w:val="en-US" w:eastAsia="zh-CN"/>
              </w:rPr>
            </w:pPr>
            <w:r>
              <w:rPr>
                <w:rFonts w:hint="eastAsia"/>
                <w:lang w:val="en-US" w:eastAsia="zh-CN"/>
              </w:rPr>
              <w:t xml:space="preserve">3.1.27.6   造影可与空间复合成像、斑点噪声抑制技术结合使用 </w:t>
            </w:r>
          </w:p>
          <w:p w14:paraId="1C326ED2">
            <w:pPr>
              <w:spacing w:line="240" w:lineRule="auto"/>
              <w:jc w:val="left"/>
              <w:rPr>
                <w:rFonts w:hint="eastAsia"/>
                <w:lang w:val="en-US" w:eastAsia="zh-CN"/>
              </w:rPr>
            </w:pPr>
            <w:r>
              <w:rPr>
                <w:rFonts w:hint="eastAsia"/>
                <w:lang w:val="en-US" w:eastAsia="zh-CN"/>
              </w:rPr>
              <w:t>3.1.27.7   具备高帧频造影成像</w:t>
            </w:r>
          </w:p>
          <w:p w14:paraId="4E14EA4F">
            <w:pPr>
              <w:spacing w:line="240" w:lineRule="auto"/>
              <w:jc w:val="left"/>
              <w:rPr>
                <w:rFonts w:hint="eastAsia"/>
                <w:lang w:val="en-US" w:eastAsia="zh-CN"/>
              </w:rPr>
            </w:pPr>
            <w:r>
              <w:rPr>
                <w:rFonts w:hint="eastAsia"/>
                <w:lang w:val="en-US" w:eastAsia="zh-CN"/>
              </w:rPr>
              <w:t>3.1.27.8   具备减影成像功能，有 5 种方式显示减影，可以通过对分析帧范围内的减影图 像着色重叠图像，在时间单位内可以显示多种颜色的叠加，提供了不同时相不同造影图像的对比分析。</w:t>
            </w:r>
          </w:p>
          <w:p w14:paraId="18166895">
            <w:pPr>
              <w:spacing w:line="240" w:lineRule="auto"/>
              <w:jc w:val="left"/>
              <w:rPr>
                <w:rFonts w:hint="eastAsia"/>
                <w:lang w:val="en-US" w:eastAsia="zh-CN"/>
              </w:rPr>
            </w:pPr>
            <w:r>
              <w:rPr>
                <w:rFonts w:hint="eastAsia"/>
                <w:lang w:val="en-US" w:eastAsia="zh-CN"/>
              </w:rPr>
              <w:t xml:space="preserve">3.1.27.9 双幅造影模式下支持双穿刺引导功能，并同步显示穿进入深度数值 </w:t>
            </w:r>
          </w:p>
          <w:p w14:paraId="33CBE152">
            <w:pPr>
              <w:spacing w:line="240" w:lineRule="auto"/>
              <w:jc w:val="left"/>
              <w:rPr>
                <w:rFonts w:hint="eastAsia"/>
                <w:lang w:val="en-US" w:eastAsia="zh-CN"/>
              </w:rPr>
            </w:pPr>
            <w:r>
              <w:rPr>
                <w:rFonts w:hint="eastAsia"/>
                <w:lang w:val="en-US" w:eastAsia="zh-CN"/>
              </w:rPr>
              <w:t>3.1.27.10  双幅造影模式下支持投射式同步测量</w:t>
            </w:r>
          </w:p>
          <w:p w14:paraId="014FE3B4">
            <w:pPr>
              <w:spacing w:line="240" w:lineRule="auto"/>
              <w:jc w:val="left"/>
              <w:rPr>
                <w:rFonts w:hint="eastAsia"/>
                <w:lang w:val="en-US" w:eastAsia="zh-CN"/>
              </w:rPr>
            </w:pPr>
            <w:r>
              <w:rPr>
                <w:rFonts w:hint="eastAsia"/>
                <w:lang w:val="en-US" w:eastAsia="zh-CN"/>
              </w:rPr>
              <w:t xml:space="preserve">3.1.33.11  造影技术支持凸阵、微凸阵、线阵、相控阵等探头 </w:t>
            </w:r>
          </w:p>
          <w:p w14:paraId="75E1D2D4">
            <w:pPr>
              <w:spacing w:line="240" w:lineRule="auto"/>
              <w:jc w:val="left"/>
              <w:rPr>
                <w:rFonts w:hint="eastAsia"/>
                <w:lang w:val="en-US" w:eastAsia="zh-CN"/>
              </w:rPr>
            </w:pPr>
            <w:r>
              <w:rPr>
                <w:rFonts w:hint="eastAsia"/>
                <w:lang w:val="en-US" w:eastAsia="zh-CN"/>
              </w:rPr>
              <w:t>3.1.28   具备实时组织弹性成像功能</w:t>
            </w:r>
          </w:p>
          <w:p w14:paraId="753D2A11">
            <w:pPr>
              <w:spacing w:line="240" w:lineRule="auto"/>
              <w:jc w:val="left"/>
              <w:rPr>
                <w:rFonts w:hint="eastAsia"/>
                <w:lang w:val="en-US" w:eastAsia="zh-CN"/>
              </w:rPr>
            </w:pPr>
            <w:r>
              <w:rPr>
                <w:rFonts w:hint="eastAsia"/>
                <w:lang w:val="en-US" w:eastAsia="zh-CN"/>
              </w:rPr>
              <w:t xml:space="preserve">3.1.28.1   具备应变比值定量分析， 可进行任意两个区域间应变比的计算 </w:t>
            </w:r>
          </w:p>
          <w:p w14:paraId="70E3E178">
            <w:pPr>
              <w:spacing w:line="240" w:lineRule="auto"/>
              <w:jc w:val="left"/>
              <w:rPr>
                <w:rFonts w:hint="eastAsia"/>
                <w:lang w:val="en-US" w:eastAsia="zh-CN"/>
              </w:rPr>
            </w:pPr>
            <w:r>
              <w:rPr>
                <w:rFonts w:hint="eastAsia"/>
                <w:lang w:val="en-US" w:eastAsia="zh-CN"/>
              </w:rPr>
              <w:t>3.1.28.2   具备应变曲线， 应变平均值的时间变化可实时显示于图形上</w:t>
            </w:r>
          </w:p>
          <w:p w14:paraId="27EA411A">
            <w:pPr>
              <w:spacing w:line="240" w:lineRule="auto"/>
              <w:jc w:val="left"/>
              <w:rPr>
                <w:rFonts w:hint="eastAsia"/>
                <w:lang w:val="en-US" w:eastAsia="zh-CN"/>
              </w:rPr>
            </w:pPr>
            <w:r>
              <w:rPr>
                <w:rFonts w:hint="eastAsia"/>
                <w:lang w:val="en-US" w:eastAsia="zh-CN"/>
              </w:rPr>
              <w:t>3.1.28.3   具备自动选帧功能， 可自动提取稳定压力下的最佳图像</w:t>
            </w:r>
          </w:p>
          <w:p w14:paraId="52AB2699">
            <w:pPr>
              <w:spacing w:line="240" w:lineRule="auto"/>
              <w:jc w:val="left"/>
              <w:rPr>
                <w:rFonts w:hint="eastAsia"/>
                <w:lang w:val="en-US" w:eastAsia="zh-CN"/>
              </w:rPr>
            </w:pPr>
            <w:r>
              <w:rPr>
                <w:rFonts w:hint="eastAsia"/>
                <w:lang w:val="en-US" w:eastAsia="zh-CN"/>
              </w:rPr>
              <w:t>3.1.28.4   具备自动应变比值定量分析功能， 点击病灶部位即可自动取样病灶和脂肪层 ROI， 并进行应变比值测量</w:t>
            </w:r>
          </w:p>
          <w:p w14:paraId="008C96B1">
            <w:pPr>
              <w:spacing w:line="240" w:lineRule="auto"/>
              <w:jc w:val="left"/>
              <w:rPr>
                <w:rFonts w:hint="eastAsia"/>
                <w:lang w:val="en-US" w:eastAsia="zh-CN"/>
              </w:rPr>
            </w:pPr>
            <w:r>
              <w:rPr>
                <w:rFonts w:hint="eastAsia"/>
                <w:lang w:val="en-US" w:eastAsia="zh-CN"/>
              </w:rPr>
              <w:t>3.1.28.5   支持凸阵、线阵、腔内、双平面及腹腔镜等探头</w:t>
            </w:r>
          </w:p>
          <w:p w14:paraId="7F1FF406">
            <w:pPr>
              <w:spacing w:line="240" w:lineRule="auto"/>
              <w:jc w:val="left"/>
              <w:rPr>
                <w:rFonts w:hint="eastAsia"/>
                <w:lang w:val="en-US" w:eastAsia="zh-CN"/>
              </w:rPr>
            </w:pPr>
            <w:r>
              <w:rPr>
                <w:rFonts w:hint="eastAsia"/>
                <w:lang w:val="en-US" w:eastAsia="zh-CN"/>
              </w:rPr>
              <w:t>3.1.29   具备自动血管内中膜厚度测量： 通过在血管长轴设置感兴趣区 ROI， 可自动提取 IMT 厚 度及多点的平均值</w:t>
            </w:r>
          </w:p>
          <w:p w14:paraId="627BD3CC">
            <w:pPr>
              <w:spacing w:line="240" w:lineRule="auto"/>
              <w:jc w:val="left"/>
              <w:rPr>
                <w:rFonts w:hint="eastAsia"/>
                <w:lang w:val="en-US" w:eastAsia="zh-CN"/>
              </w:rPr>
            </w:pPr>
            <w:r>
              <w:rPr>
                <w:rFonts w:hint="eastAsia"/>
                <w:lang w:val="en-US" w:eastAsia="zh-CN"/>
              </w:rPr>
              <w:t>*3.1.30   具备针对弥漫性病变弹性成像功能， 具备肝纤维化的分级定量</w:t>
            </w:r>
          </w:p>
          <w:p w14:paraId="679C184B">
            <w:pPr>
              <w:spacing w:line="240" w:lineRule="auto"/>
              <w:jc w:val="left"/>
              <w:rPr>
                <w:rFonts w:hint="eastAsia"/>
                <w:lang w:val="en-US" w:eastAsia="zh-CN"/>
              </w:rPr>
            </w:pPr>
            <w:r>
              <w:rPr>
                <w:rFonts w:hint="eastAsia"/>
                <w:lang w:val="en-US" w:eastAsia="zh-CN"/>
              </w:rPr>
              <w:t>3.1.30.1   具备至少 11 个弥散定量诊断参数</w:t>
            </w:r>
          </w:p>
          <w:p w14:paraId="4722EE7F">
            <w:pPr>
              <w:spacing w:line="240" w:lineRule="auto"/>
              <w:jc w:val="left"/>
              <w:rPr>
                <w:rFonts w:hint="eastAsia"/>
                <w:lang w:val="en-US" w:eastAsia="zh-CN"/>
              </w:rPr>
            </w:pPr>
            <w:r>
              <w:rPr>
                <w:rFonts w:hint="eastAsia"/>
                <w:lang w:val="en-US" w:eastAsia="zh-CN"/>
              </w:rPr>
              <w:t>3.1.30.2   具备应变直方图显示</w:t>
            </w:r>
          </w:p>
          <w:p w14:paraId="242DD539">
            <w:pPr>
              <w:spacing w:line="240" w:lineRule="auto"/>
              <w:jc w:val="left"/>
              <w:rPr>
                <w:rFonts w:hint="eastAsia"/>
                <w:lang w:val="en-US" w:eastAsia="zh-CN"/>
              </w:rPr>
            </w:pPr>
            <w:r>
              <w:rPr>
                <w:rFonts w:hint="eastAsia"/>
                <w:lang w:val="en-US" w:eastAsia="zh-CN"/>
              </w:rPr>
              <w:t>3.1.31   具备剪切波测量</w:t>
            </w:r>
          </w:p>
          <w:p w14:paraId="3D9E109F">
            <w:pPr>
              <w:spacing w:line="240" w:lineRule="auto"/>
              <w:jc w:val="left"/>
              <w:rPr>
                <w:rFonts w:hint="eastAsia"/>
                <w:lang w:val="en-US" w:eastAsia="zh-CN"/>
              </w:rPr>
            </w:pPr>
            <w:r>
              <w:rPr>
                <w:rFonts w:hint="eastAsia"/>
                <w:lang w:val="en-US" w:eastAsia="zh-CN"/>
              </w:rPr>
              <w:t>3.1.31.1   测量值可以两种显示杨氏模量（KPa）、剪切波速度（m/s）， 同时显示四分位 间距。具备质控指数， 提高测量准确性及重复性</w:t>
            </w:r>
          </w:p>
          <w:p w14:paraId="74CC1CBA">
            <w:pPr>
              <w:spacing w:line="240" w:lineRule="auto"/>
              <w:jc w:val="left"/>
              <w:rPr>
                <w:rFonts w:hint="eastAsia"/>
                <w:lang w:val="en-US" w:eastAsia="zh-CN"/>
              </w:rPr>
            </w:pPr>
            <w:r>
              <w:rPr>
                <w:rFonts w:hint="eastAsia"/>
                <w:lang w:val="en-US" w:eastAsia="zh-CN"/>
              </w:rPr>
              <w:t>3.1.31.2   具备剪切波速度分布直方图</w:t>
            </w:r>
          </w:p>
          <w:p w14:paraId="18A8B370">
            <w:pPr>
              <w:spacing w:line="240" w:lineRule="auto"/>
              <w:jc w:val="left"/>
              <w:rPr>
                <w:rFonts w:hint="eastAsia"/>
                <w:lang w:val="en-US" w:eastAsia="zh-CN"/>
              </w:rPr>
            </w:pPr>
            <w:r>
              <w:rPr>
                <w:rFonts w:hint="eastAsia"/>
                <w:lang w:val="en-US" w:eastAsia="zh-CN"/>
              </w:rPr>
              <w:t>*3.1.31.3   测量 Vs 的同时， 可进行脂肪衰减系数测量</w:t>
            </w:r>
          </w:p>
          <w:p w14:paraId="7ECDAB9A">
            <w:pPr>
              <w:spacing w:line="240" w:lineRule="auto"/>
              <w:jc w:val="left"/>
              <w:rPr>
                <w:rFonts w:hint="eastAsia"/>
                <w:lang w:val="en-US" w:eastAsia="zh-CN"/>
              </w:rPr>
            </w:pPr>
            <w:r>
              <w:rPr>
                <w:rFonts w:hint="eastAsia"/>
                <w:lang w:val="en-US" w:eastAsia="zh-CN"/>
              </w:rPr>
              <w:t>3.1.31.4   外部输出测量数据可用 （CSV 文件格式）</w:t>
            </w:r>
          </w:p>
          <w:p w14:paraId="2F578041">
            <w:pPr>
              <w:spacing w:line="240" w:lineRule="auto"/>
              <w:jc w:val="left"/>
              <w:rPr>
                <w:rFonts w:hint="eastAsia"/>
                <w:lang w:val="en-US" w:eastAsia="zh-CN"/>
              </w:rPr>
            </w:pPr>
            <w:r>
              <w:rPr>
                <w:rFonts w:hint="eastAsia"/>
                <w:lang w:val="en-US" w:eastAsia="zh-CN"/>
              </w:rPr>
              <w:t>*3.1.32   具备多模态弹性成像功能，具备多种肝脏状态的定量指标</w:t>
            </w:r>
          </w:p>
          <w:p w14:paraId="65761FB9">
            <w:pPr>
              <w:spacing w:line="240" w:lineRule="auto"/>
              <w:jc w:val="left"/>
              <w:rPr>
                <w:rFonts w:hint="eastAsia"/>
                <w:lang w:val="en-US" w:eastAsia="zh-CN"/>
              </w:rPr>
            </w:pPr>
            <w:r>
              <w:rPr>
                <w:rFonts w:hint="eastAsia"/>
                <w:lang w:val="en-US" w:eastAsia="zh-CN"/>
              </w:rPr>
              <w:t xml:space="preserve">3.1.32.1   支持在同一切面下同时进行应变式弹性成像和剪切波实时双幅显示 </w:t>
            </w:r>
          </w:p>
          <w:p w14:paraId="1EC8ECE3">
            <w:pPr>
              <w:spacing w:line="240" w:lineRule="auto"/>
              <w:jc w:val="left"/>
              <w:rPr>
                <w:rFonts w:hint="eastAsia"/>
                <w:lang w:val="en-US" w:eastAsia="zh-CN"/>
              </w:rPr>
            </w:pPr>
            <w:r>
              <w:rPr>
                <w:rFonts w:hint="eastAsia"/>
                <w:lang w:val="en-US" w:eastAsia="zh-CN"/>
              </w:rPr>
              <w:t>3.1.32.2   具备多种肝脏状态的定量指标， 可提供肝纤维化指数、炎症指数、声衰减指数等，进行精准的定量评估</w:t>
            </w:r>
          </w:p>
          <w:p w14:paraId="55C8138A">
            <w:pPr>
              <w:spacing w:line="240" w:lineRule="auto"/>
              <w:jc w:val="left"/>
              <w:rPr>
                <w:rFonts w:hint="eastAsia"/>
                <w:lang w:val="en-US" w:eastAsia="zh-CN"/>
              </w:rPr>
            </w:pPr>
            <w:r>
              <w:rPr>
                <w:rFonts w:hint="eastAsia"/>
                <w:lang w:val="en-US" w:eastAsia="zh-CN"/>
              </w:rPr>
              <w:t>3.1.32.3   具备精细化操作质控指标，可提示组织应变方向，确保测量数据的准确性</w:t>
            </w:r>
          </w:p>
          <w:p w14:paraId="707D6F61">
            <w:pPr>
              <w:spacing w:line="240" w:lineRule="auto"/>
              <w:jc w:val="left"/>
              <w:rPr>
                <w:rFonts w:hint="eastAsia"/>
                <w:lang w:val="en-US" w:eastAsia="zh-CN"/>
              </w:rPr>
            </w:pPr>
            <w:r>
              <w:rPr>
                <w:rFonts w:hint="eastAsia"/>
                <w:lang w:val="en-US" w:eastAsia="zh-CN"/>
              </w:rPr>
              <w:t xml:space="preserve">3.2   测量和分析（B 型、M 型、彩色多普勒、频谱多普勒） </w:t>
            </w:r>
          </w:p>
          <w:p w14:paraId="59CA811F">
            <w:pPr>
              <w:spacing w:line="240" w:lineRule="auto"/>
              <w:jc w:val="left"/>
              <w:rPr>
                <w:rFonts w:hint="eastAsia"/>
                <w:lang w:val="en-US" w:eastAsia="zh-CN"/>
              </w:rPr>
            </w:pPr>
            <w:r>
              <w:rPr>
                <w:rFonts w:hint="eastAsia"/>
                <w:lang w:val="en-US" w:eastAsia="zh-CN"/>
              </w:rPr>
              <w:t xml:space="preserve">3.2.1   一般测量： 距离、面积、周长、角度、容积等 </w:t>
            </w:r>
          </w:p>
          <w:p w14:paraId="3FA8EA6D">
            <w:pPr>
              <w:spacing w:line="240" w:lineRule="auto"/>
              <w:jc w:val="left"/>
              <w:rPr>
                <w:rFonts w:hint="eastAsia"/>
                <w:lang w:val="en-US" w:eastAsia="zh-CN"/>
              </w:rPr>
            </w:pPr>
            <w:r>
              <w:rPr>
                <w:rFonts w:hint="eastAsia"/>
                <w:lang w:val="en-US" w:eastAsia="zh-CN"/>
              </w:rPr>
              <w:t>3.2.2     M 型测量</w:t>
            </w:r>
          </w:p>
          <w:p w14:paraId="7CDAD478">
            <w:pPr>
              <w:spacing w:line="240" w:lineRule="auto"/>
              <w:jc w:val="left"/>
              <w:rPr>
                <w:rFonts w:hint="eastAsia"/>
                <w:lang w:val="en-US" w:eastAsia="zh-CN"/>
              </w:rPr>
            </w:pPr>
            <w:r>
              <w:rPr>
                <w:rFonts w:hint="eastAsia"/>
                <w:lang w:val="en-US" w:eastAsia="zh-CN"/>
              </w:rPr>
              <w:t>3.2.3     多普勒血流测量及分析（含实时多普勒自动描记）</w:t>
            </w:r>
          </w:p>
          <w:p w14:paraId="7A15E2FE">
            <w:pPr>
              <w:spacing w:line="240" w:lineRule="auto"/>
              <w:jc w:val="left"/>
              <w:rPr>
                <w:rFonts w:hint="eastAsia"/>
                <w:lang w:val="en-US" w:eastAsia="zh-CN"/>
              </w:rPr>
            </w:pPr>
            <w:r>
              <w:rPr>
                <w:rFonts w:hint="eastAsia"/>
                <w:lang w:val="en-US" w:eastAsia="zh-CN"/>
              </w:rPr>
              <w:t>3.2.4     产科测量与分析： 包括全面的产科径线测量、NT 测量、孕龄及生长曲线、羊水指数等</w:t>
            </w:r>
          </w:p>
          <w:p w14:paraId="5AA66140">
            <w:pPr>
              <w:spacing w:line="240" w:lineRule="auto"/>
              <w:jc w:val="left"/>
              <w:rPr>
                <w:rFonts w:hint="eastAsia"/>
                <w:lang w:val="en-US" w:eastAsia="zh-CN"/>
              </w:rPr>
            </w:pPr>
            <w:r>
              <w:rPr>
                <w:rFonts w:hint="eastAsia"/>
                <w:lang w:val="en-US" w:eastAsia="zh-CN"/>
              </w:rPr>
              <w:t>3.2.5     妇科测量与分析</w:t>
            </w:r>
          </w:p>
          <w:p w14:paraId="51DEAE7C">
            <w:pPr>
              <w:spacing w:line="240" w:lineRule="auto"/>
              <w:jc w:val="left"/>
              <w:rPr>
                <w:rFonts w:hint="eastAsia"/>
                <w:lang w:val="en-US" w:eastAsia="zh-CN"/>
              </w:rPr>
            </w:pPr>
            <w:r>
              <w:rPr>
                <w:rFonts w:hint="eastAsia"/>
                <w:lang w:val="en-US" w:eastAsia="zh-CN"/>
              </w:rPr>
              <w:t>3.2.5.1   具备专业卵泡测量软件包</w:t>
            </w:r>
          </w:p>
          <w:p w14:paraId="44280EE5">
            <w:pPr>
              <w:spacing w:line="240" w:lineRule="auto"/>
              <w:jc w:val="left"/>
              <w:rPr>
                <w:rFonts w:hint="eastAsia"/>
                <w:lang w:val="en-US" w:eastAsia="zh-CN"/>
              </w:rPr>
            </w:pPr>
            <w:r>
              <w:rPr>
                <w:rFonts w:hint="eastAsia"/>
                <w:lang w:val="en-US" w:eastAsia="zh-CN"/>
              </w:rPr>
              <w:t>3.2.5.2   可自动计算卵泡大小及平均值</w:t>
            </w:r>
          </w:p>
          <w:p w14:paraId="5A1CDAB4">
            <w:pPr>
              <w:spacing w:line="240" w:lineRule="auto"/>
              <w:jc w:val="left"/>
              <w:rPr>
                <w:rFonts w:hint="eastAsia"/>
                <w:lang w:val="en-US" w:eastAsia="zh-CN"/>
              </w:rPr>
            </w:pPr>
            <w:r>
              <w:rPr>
                <w:rFonts w:hint="eastAsia"/>
                <w:lang w:val="en-US" w:eastAsia="zh-CN"/>
              </w:rPr>
              <w:t>3.2.5.3   具备专业卵泡评估报告， 卵泡可自动大小排序 3.2.5.4   报告中每侧显示卵泡≥10 个</w:t>
            </w:r>
          </w:p>
          <w:p w14:paraId="43F77906">
            <w:pPr>
              <w:spacing w:line="240" w:lineRule="auto"/>
              <w:jc w:val="left"/>
              <w:rPr>
                <w:rFonts w:hint="eastAsia"/>
                <w:lang w:val="en-US" w:eastAsia="zh-CN"/>
              </w:rPr>
            </w:pPr>
            <w:r>
              <w:rPr>
                <w:rFonts w:hint="eastAsia"/>
                <w:lang w:val="en-US" w:eastAsia="zh-CN"/>
              </w:rPr>
              <w:t>3.2.6     外周血管血流测量与分析</w:t>
            </w:r>
          </w:p>
          <w:p w14:paraId="2635F0A1">
            <w:pPr>
              <w:spacing w:line="240" w:lineRule="auto"/>
              <w:jc w:val="left"/>
              <w:rPr>
                <w:rFonts w:hint="eastAsia"/>
                <w:lang w:val="en-US" w:eastAsia="zh-CN"/>
              </w:rPr>
            </w:pPr>
            <w:r>
              <w:rPr>
                <w:rFonts w:hint="eastAsia"/>
                <w:lang w:val="en-US" w:eastAsia="zh-CN"/>
              </w:rPr>
              <w:t>3.2.7     乳腺测量与分析</w:t>
            </w:r>
          </w:p>
          <w:p w14:paraId="10D90860">
            <w:pPr>
              <w:spacing w:line="240" w:lineRule="auto"/>
              <w:jc w:val="left"/>
              <w:rPr>
                <w:rFonts w:hint="eastAsia"/>
                <w:lang w:val="en-US" w:eastAsia="zh-CN"/>
              </w:rPr>
            </w:pPr>
            <w:r>
              <w:rPr>
                <w:rFonts w:hint="eastAsia"/>
                <w:lang w:val="en-US" w:eastAsia="zh-CN"/>
              </w:rPr>
              <w:t xml:space="preserve">3.2.8.1   具备专业乳腺测量软件包 </w:t>
            </w:r>
          </w:p>
          <w:p w14:paraId="3775BC88">
            <w:pPr>
              <w:spacing w:line="240" w:lineRule="auto"/>
              <w:jc w:val="left"/>
              <w:rPr>
                <w:rFonts w:hint="eastAsia"/>
                <w:lang w:val="en-US" w:eastAsia="zh-CN"/>
              </w:rPr>
            </w:pPr>
            <w:r>
              <w:rPr>
                <w:rFonts w:hint="eastAsia"/>
                <w:lang w:val="en-US" w:eastAsia="zh-CN"/>
              </w:rPr>
              <w:t>3.2.8.2   具备乳腺占位分布图</w:t>
            </w:r>
          </w:p>
          <w:p w14:paraId="17D6EC64">
            <w:pPr>
              <w:spacing w:line="240" w:lineRule="auto"/>
              <w:jc w:val="left"/>
              <w:rPr>
                <w:rFonts w:hint="eastAsia"/>
                <w:lang w:val="en-US" w:eastAsia="zh-CN"/>
              </w:rPr>
            </w:pPr>
            <w:r>
              <w:rPr>
                <w:rFonts w:hint="eastAsia"/>
                <w:lang w:val="en-US" w:eastAsia="zh-CN"/>
              </w:rPr>
              <w:t>3.2.8     髋关节角度测量与分析</w:t>
            </w:r>
          </w:p>
          <w:p w14:paraId="7EDCC62C">
            <w:pPr>
              <w:spacing w:line="240" w:lineRule="auto"/>
              <w:jc w:val="left"/>
              <w:rPr>
                <w:rFonts w:hint="eastAsia"/>
                <w:lang w:val="en-US" w:eastAsia="zh-CN"/>
              </w:rPr>
            </w:pPr>
            <w:r>
              <w:rPr>
                <w:rFonts w:hint="eastAsia"/>
                <w:lang w:val="en-US" w:eastAsia="zh-CN"/>
              </w:rPr>
              <w:t>3.2.8.1   可显示基于 Graf 分布的髋臼类型</w:t>
            </w:r>
          </w:p>
          <w:p w14:paraId="74064717">
            <w:pPr>
              <w:spacing w:line="240" w:lineRule="auto"/>
              <w:jc w:val="left"/>
              <w:rPr>
                <w:rFonts w:hint="eastAsia"/>
                <w:lang w:val="en-US" w:eastAsia="zh-CN"/>
              </w:rPr>
            </w:pPr>
            <w:r>
              <w:rPr>
                <w:rFonts w:hint="eastAsia"/>
                <w:lang w:val="en-US" w:eastAsia="zh-CN"/>
              </w:rPr>
              <w:t>3.2.9   IMT 自动测量与分析</w:t>
            </w:r>
          </w:p>
          <w:p w14:paraId="72D1B73D">
            <w:pPr>
              <w:spacing w:line="240" w:lineRule="auto"/>
              <w:jc w:val="left"/>
              <w:rPr>
                <w:rFonts w:hint="eastAsia"/>
                <w:lang w:val="en-US" w:eastAsia="zh-CN"/>
              </w:rPr>
            </w:pPr>
            <w:r>
              <w:rPr>
                <w:rFonts w:hint="eastAsia"/>
                <w:lang w:val="en-US" w:eastAsia="zh-CN"/>
              </w:rPr>
              <w:t>3.2.10   报告功能： 可以调取既往测量报告，历史检查数据可在报告中分开显示</w:t>
            </w:r>
          </w:p>
          <w:p w14:paraId="54FE16E8">
            <w:pPr>
              <w:spacing w:line="240" w:lineRule="auto"/>
              <w:jc w:val="left"/>
              <w:rPr>
                <w:rFonts w:hint="eastAsia"/>
                <w:lang w:val="en-US" w:eastAsia="zh-CN"/>
              </w:rPr>
            </w:pPr>
            <w:r>
              <w:rPr>
                <w:rFonts w:hint="eastAsia"/>
                <w:lang w:val="en-US" w:eastAsia="zh-CN"/>
              </w:rPr>
              <w:t>3.1.10.1   具备产科、妇科、心功能、血管、 IMT （内中膜厚度）、泌尿科、腹部测量、 小器官等报告</w:t>
            </w:r>
          </w:p>
          <w:p w14:paraId="23E9561A">
            <w:pPr>
              <w:spacing w:line="240" w:lineRule="auto"/>
              <w:jc w:val="left"/>
              <w:rPr>
                <w:rFonts w:hint="eastAsia"/>
                <w:lang w:val="en-US" w:eastAsia="zh-CN"/>
              </w:rPr>
            </w:pPr>
            <w:r>
              <w:rPr>
                <w:rFonts w:hint="eastAsia"/>
                <w:lang w:val="en-US" w:eastAsia="zh-CN"/>
              </w:rPr>
              <w:t>3.2.11.2   用户自定义估测公式：每一种应用可以设定≥30 个公式</w:t>
            </w:r>
          </w:p>
          <w:p w14:paraId="2AD64151">
            <w:pPr>
              <w:spacing w:line="240" w:lineRule="auto"/>
              <w:jc w:val="left"/>
              <w:rPr>
                <w:rFonts w:hint="eastAsia"/>
                <w:lang w:val="en-US" w:eastAsia="zh-CN"/>
              </w:rPr>
            </w:pPr>
            <w:r>
              <w:rPr>
                <w:rFonts w:hint="eastAsia"/>
                <w:lang w:val="en-US" w:eastAsia="zh-CN"/>
              </w:rPr>
              <w:t>3.2.11.3   测量结果的字号可更改≥3 种选择</w:t>
            </w:r>
          </w:p>
          <w:p w14:paraId="41875889">
            <w:pPr>
              <w:spacing w:line="240" w:lineRule="auto"/>
              <w:jc w:val="left"/>
              <w:rPr>
                <w:rFonts w:hint="eastAsia"/>
                <w:lang w:val="en-US" w:eastAsia="zh-CN"/>
              </w:rPr>
            </w:pPr>
            <w:r>
              <w:rPr>
                <w:rFonts w:hint="eastAsia"/>
                <w:lang w:val="en-US" w:eastAsia="zh-CN"/>
              </w:rPr>
              <w:t>3.3   图像存储与（电影） 回放重现单元</w:t>
            </w:r>
          </w:p>
          <w:p w14:paraId="5536DF2A">
            <w:pPr>
              <w:spacing w:line="240" w:lineRule="auto"/>
              <w:jc w:val="left"/>
              <w:rPr>
                <w:rFonts w:hint="eastAsia"/>
                <w:lang w:val="en-US" w:eastAsia="zh-CN"/>
              </w:rPr>
            </w:pPr>
            <w:r>
              <w:rPr>
                <w:rFonts w:hint="eastAsia"/>
                <w:lang w:val="en-US" w:eastAsia="zh-CN"/>
              </w:rPr>
              <w:t xml:space="preserve">3.3.1   主机硬盘≥1TB， 电影回放单元≥63500 帧 </w:t>
            </w:r>
          </w:p>
          <w:p w14:paraId="43F39E6A">
            <w:pPr>
              <w:spacing w:line="240" w:lineRule="auto"/>
              <w:jc w:val="left"/>
              <w:rPr>
                <w:rFonts w:hint="eastAsia"/>
                <w:lang w:val="en-US" w:eastAsia="zh-CN"/>
              </w:rPr>
            </w:pPr>
            <w:r>
              <w:rPr>
                <w:rFonts w:hint="eastAsia"/>
                <w:lang w:val="en-US" w:eastAsia="zh-CN"/>
              </w:rPr>
              <w:t>3.4   输入/输出信号：</w:t>
            </w:r>
          </w:p>
          <w:p w14:paraId="54E2774B">
            <w:pPr>
              <w:spacing w:line="240" w:lineRule="auto"/>
              <w:jc w:val="left"/>
              <w:rPr>
                <w:rFonts w:hint="eastAsia"/>
                <w:lang w:val="en-US" w:eastAsia="zh-CN"/>
              </w:rPr>
            </w:pPr>
            <w:r>
              <w:rPr>
                <w:rFonts w:hint="eastAsia"/>
                <w:lang w:val="en-US" w:eastAsia="zh-CN"/>
              </w:rPr>
              <w:t>3.4.1   输入： DVI、S 端子</w:t>
            </w:r>
          </w:p>
          <w:p w14:paraId="04B8CF66">
            <w:pPr>
              <w:spacing w:line="240" w:lineRule="auto"/>
              <w:jc w:val="left"/>
              <w:rPr>
                <w:rFonts w:hint="eastAsia"/>
                <w:lang w:val="en-US" w:eastAsia="zh-CN"/>
              </w:rPr>
            </w:pPr>
            <w:r>
              <w:rPr>
                <w:rFonts w:hint="eastAsia"/>
                <w:lang w:val="en-US" w:eastAsia="zh-CN"/>
              </w:rPr>
              <w:t>3.4.2  输出： DVI、S 端子、复合视频 3.5   图像管理与记录装置</w:t>
            </w:r>
          </w:p>
          <w:p w14:paraId="47B62224">
            <w:pPr>
              <w:spacing w:line="240" w:lineRule="auto"/>
              <w:jc w:val="left"/>
              <w:rPr>
                <w:rFonts w:hint="eastAsia"/>
                <w:lang w:val="en-US" w:eastAsia="zh-CN"/>
              </w:rPr>
            </w:pPr>
            <w:r>
              <w:rPr>
                <w:rFonts w:hint="eastAsia"/>
                <w:lang w:val="en-US" w:eastAsia="zh-CN"/>
              </w:rPr>
              <w:t>3.5.1   超声图像存档与病案管理</w:t>
            </w:r>
          </w:p>
          <w:p w14:paraId="1133E38B">
            <w:pPr>
              <w:spacing w:line="240" w:lineRule="auto"/>
              <w:jc w:val="left"/>
              <w:rPr>
                <w:rFonts w:hint="eastAsia"/>
                <w:lang w:val="en-US" w:eastAsia="zh-CN"/>
              </w:rPr>
            </w:pPr>
            <w:r>
              <w:rPr>
                <w:rFonts w:hint="eastAsia"/>
                <w:lang w:val="en-US" w:eastAsia="zh-CN"/>
              </w:rPr>
              <w:t>3.5.2   内置 DICOM 3.0 标准输出接口</w:t>
            </w:r>
          </w:p>
          <w:p w14:paraId="380BA473">
            <w:pPr>
              <w:spacing w:line="240" w:lineRule="auto"/>
              <w:jc w:val="left"/>
              <w:rPr>
                <w:rFonts w:hint="eastAsia"/>
                <w:lang w:val="en-US" w:eastAsia="zh-CN"/>
              </w:rPr>
            </w:pPr>
            <w:r>
              <w:rPr>
                <w:rFonts w:hint="eastAsia"/>
                <w:lang w:val="en-US" w:eastAsia="zh-CN"/>
              </w:rPr>
              <w:t>3.6   具备 DICOM  网络连接</w:t>
            </w:r>
          </w:p>
          <w:p w14:paraId="55DAD9A5">
            <w:pPr>
              <w:spacing w:line="240" w:lineRule="auto"/>
              <w:jc w:val="left"/>
              <w:rPr>
                <w:rFonts w:hint="eastAsia"/>
                <w:lang w:val="en-US" w:eastAsia="zh-CN"/>
              </w:rPr>
            </w:pPr>
            <w:r>
              <w:rPr>
                <w:rFonts w:hint="eastAsia"/>
                <w:lang w:val="en-US" w:eastAsia="zh-CN"/>
              </w:rPr>
              <w:t>四、技术参数及要求</w:t>
            </w:r>
          </w:p>
          <w:p w14:paraId="7B656430">
            <w:pPr>
              <w:spacing w:line="240" w:lineRule="auto"/>
              <w:jc w:val="left"/>
              <w:rPr>
                <w:rFonts w:hint="eastAsia"/>
                <w:lang w:val="en-US" w:eastAsia="zh-CN"/>
              </w:rPr>
            </w:pPr>
            <w:r>
              <w:rPr>
                <w:rFonts w:hint="eastAsia"/>
                <w:lang w:val="en-US" w:eastAsia="zh-CN"/>
              </w:rPr>
              <w:t>4.1   系统通用规格：</w:t>
            </w:r>
          </w:p>
          <w:p w14:paraId="7E0A1656">
            <w:pPr>
              <w:spacing w:line="240" w:lineRule="auto"/>
              <w:jc w:val="left"/>
              <w:rPr>
                <w:rFonts w:hint="eastAsia"/>
                <w:lang w:val="en-US" w:eastAsia="zh-CN"/>
              </w:rPr>
            </w:pPr>
            <w:r>
              <w:rPr>
                <w:rFonts w:hint="eastAsia"/>
                <w:lang w:val="en-US" w:eastAsia="zh-CN"/>
              </w:rPr>
              <w:t>4.1.1   监视器： ≥23 英寸 LCD 高分辨率显示器</w:t>
            </w:r>
          </w:p>
          <w:p w14:paraId="0800732A">
            <w:pPr>
              <w:spacing w:line="240" w:lineRule="auto"/>
              <w:jc w:val="left"/>
              <w:rPr>
                <w:rFonts w:hint="eastAsia"/>
                <w:lang w:val="en-US" w:eastAsia="zh-CN"/>
              </w:rPr>
            </w:pPr>
            <w:r>
              <w:rPr>
                <w:rFonts w:hint="eastAsia"/>
                <w:lang w:val="en-US" w:eastAsia="zh-CN"/>
              </w:rPr>
              <w:t xml:space="preserve">4.1.2   操作面板具备液晶触摸控制屏，尺寸≥10.4 英寸   </w:t>
            </w:r>
          </w:p>
          <w:p w14:paraId="724DE993">
            <w:pPr>
              <w:spacing w:line="240" w:lineRule="auto"/>
              <w:jc w:val="left"/>
              <w:rPr>
                <w:rFonts w:hint="eastAsia"/>
                <w:lang w:val="en-US" w:eastAsia="zh-CN"/>
              </w:rPr>
            </w:pPr>
            <w:r>
              <w:rPr>
                <w:rFonts w:hint="eastAsia"/>
                <w:lang w:val="en-US" w:eastAsia="zh-CN"/>
              </w:rPr>
              <w:t>4.1.3   可任意互换电子探头接口： ≥6 个 （可激活 4 个）</w:t>
            </w:r>
          </w:p>
          <w:p w14:paraId="71B6CB77">
            <w:pPr>
              <w:spacing w:line="240" w:lineRule="auto"/>
              <w:jc w:val="left"/>
              <w:rPr>
                <w:rFonts w:hint="eastAsia"/>
                <w:lang w:val="en-US" w:eastAsia="zh-CN"/>
              </w:rPr>
            </w:pPr>
            <w:r>
              <w:rPr>
                <w:rFonts w:hint="eastAsia"/>
                <w:lang w:val="en-US" w:eastAsia="zh-CN"/>
              </w:rPr>
              <w:t xml:space="preserve">4.1.4   预设条件：针对不同的检查领域、病人条件，预设及用户自定义最优参数条件 </w:t>
            </w:r>
          </w:p>
          <w:p w14:paraId="3835DECD">
            <w:pPr>
              <w:spacing w:line="240" w:lineRule="auto"/>
              <w:jc w:val="left"/>
              <w:rPr>
                <w:rFonts w:hint="eastAsia"/>
                <w:lang w:val="en-US" w:eastAsia="zh-CN"/>
              </w:rPr>
            </w:pPr>
            <w:r>
              <w:rPr>
                <w:rFonts w:hint="eastAsia"/>
                <w:lang w:val="en-US" w:eastAsia="zh-CN"/>
              </w:rPr>
              <w:t>4.1.5   系统动态范围≥320dB</w:t>
            </w:r>
          </w:p>
          <w:p w14:paraId="3E40E04E">
            <w:pPr>
              <w:spacing w:line="240" w:lineRule="auto"/>
              <w:jc w:val="left"/>
              <w:rPr>
                <w:rFonts w:hint="eastAsia"/>
                <w:lang w:val="en-US" w:eastAsia="zh-CN"/>
              </w:rPr>
            </w:pPr>
            <w:r>
              <w:rPr>
                <w:rFonts w:hint="eastAsia"/>
                <w:lang w:val="en-US" w:eastAsia="zh-CN"/>
              </w:rPr>
              <w:t>4.1.6   探头个数：5个，分别为超宽频腹部凸阵探头、超宽频线阵探头、超宽频线阵探头、超宽频相控阵探头、超宽频经阴微凸阵探头各一个。</w:t>
            </w:r>
          </w:p>
          <w:p w14:paraId="5E8FC047">
            <w:pPr>
              <w:spacing w:line="240" w:lineRule="auto"/>
              <w:jc w:val="left"/>
              <w:rPr>
                <w:rFonts w:hint="eastAsia"/>
                <w:lang w:val="en-US" w:eastAsia="zh-CN"/>
              </w:rPr>
            </w:pPr>
            <w:r>
              <w:rPr>
                <w:rFonts w:hint="eastAsia"/>
                <w:lang w:val="en-US" w:eastAsia="zh-CN"/>
              </w:rPr>
              <w:t>4.2   探头规格</w:t>
            </w:r>
          </w:p>
          <w:p w14:paraId="32E7BD11">
            <w:pPr>
              <w:spacing w:line="240" w:lineRule="auto"/>
              <w:jc w:val="left"/>
              <w:rPr>
                <w:rFonts w:hint="eastAsia"/>
                <w:lang w:val="en-US" w:eastAsia="zh-CN"/>
              </w:rPr>
            </w:pPr>
            <w:r>
              <w:rPr>
                <w:rFonts w:hint="eastAsia"/>
                <w:lang w:val="en-US" w:eastAsia="zh-CN"/>
              </w:rPr>
              <w:t xml:space="preserve">4.2.1   频率： 超宽频或变频探头， 中心频率可视可调 </w:t>
            </w:r>
          </w:p>
          <w:p w14:paraId="7C97A721">
            <w:pPr>
              <w:spacing w:line="240" w:lineRule="auto"/>
              <w:jc w:val="left"/>
              <w:rPr>
                <w:rFonts w:hint="eastAsia"/>
                <w:lang w:val="en-US" w:eastAsia="zh-CN"/>
              </w:rPr>
            </w:pPr>
            <w:r>
              <w:rPr>
                <w:rFonts w:hint="eastAsia"/>
                <w:lang w:val="en-US" w:eastAsia="zh-CN"/>
              </w:rPr>
              <w:t xml:space="preserve">4.2.2   类型： 凸阵探头、线阵探头 </w:t>
            </w:r>
          </w:p>
          <w:p w14:paraId="43196042">
            <w:pPr>
              <w:spacing w:line="240" w:lineRule="auto"/>
              <w:jc w:val="left"/>
              <w:rPr>
                <w:rFonts w:hint="eastAsia"/>
                <w:lang w:val="en-US" w:eastAsia="zh-CN"/>
              </w:rPr>
            </w:pPr>
            <w:r>
              <w:rPr>
                <w:rFonts w:hint="eastAsia"/>
                <w:lang w:val="en-US" w:eastAsia="zh-CN"/>
              </w:rPr>
              <w:t>4.2.3   B、D、M 兼用：</w:t>
            </w:r>
          </w:p>
          <w:p w14:paraId="3A6E396A">
            <w:pPr>
              <w:spacing w:line="240" w:lineRule="auto"/>
              <w:jc w:val="left"/>
              <w:rPr>
                <w:rFonts w:hint="eastAsia"/>
                <w:lang w:val="en-US" w:eastAsia="zh-CN"/>
              </w:rPr>
            </w:pPr>
            <w:r>
              <w:rPr>
                <w:rFonts w:hint="eastAsia"/>
                <w:lang w:val="en-US" w:eastAsia="zh-CN"/>
              </w:rPr>
              <w:t>4.2.3.1  凸阵： B/PWD， B/M</w:t>
            </w:r>
          </w:p>
          <w:p w14:paraId="488773E5">
            <w:pPr>
              <w:spacing w:line="240" w:lineRule="auto"/>
              <w:jc w:val="left"/>
              <w:rPr>
                <w:rFonts w:hint="eastAsia"/>
                <w:lang w:val="en-US" w:eastAsia="zh-CN"/>
              </w:rPr>
            </w:pPr>
            <w:r>
              <w:rPr>
                <w:rFonts w:hint="eastAsia"/>
                <w:lang w:val="en-US" w:eastAsia="zh-CN"/>
              </w:rPr>
              <w:t>4.2.3.2   线阵： B/PWD， B/M</w:t>
            </w:r>
          </w:p>
          <w:p w14:paraId="58C61295">
            <w:pPr>
              <w:spacing w:line="240" w:lineRule="auto"/>
              <w:jc w:val="left"/>
              <w:rPr>
                <w:rFonts w:hint="eastAsia"/>
                <w:lang w:val="en-US" w:eastAsia="zh-CN"/>
              </w:rPr>
            </w:pPr>
            <w:r>
              <w:rPr>
                <w:rFonts w:hint="eastAsia"/>
                <w:lang w:val="en-US" w:eastAsia="zh-CN"/>
              </w:rPr>
              <w:t xml:space="preserve">4.2.3.3   相控阵： B/PWD， B/M 4.2.4   </w:t>
            </w:r>
          </w:p>
          <w:p w14:paraId="5E2026BF">
            <w:pPr>
              <w:spacing w:line="240" w:lineRule="auto"/>
              <w:jc w:val="left"/>
              <w:rPr>
                <w:rFonts w:hint="eastAsia"/>
                <w:lang w:val="en-US" w:eastAsia="zh-CN"/>
              </w:rPr>
            </w:pPr>
            <w:r>
              <w:rPr>
                <w:rFonts w:hint="eastAsia"/>
                <w:lang w:val="en-US" w:eastAsia="zh-CN"/>
              </w:rPr>
              <w:t>4.2.4   探头工作频率范围</w:t>
            </w:r>
          </w:p>
          <w:p w14:paraId="3E5B184B">
            <w:pPr>
              <w:spacing w:line="240" w:lineRule="auto"/>
              <w:jc w:val="left"/>
              <w:rPr>
                <w:rFonts w:hint="eastAsia"/>
                <w:lang w:val="en-US" w:eastAsia="zh-CN"/>
              </w:rPr>
            </w:pPr>
            <w:r>
              <w:rPr>
                <w:rFonts w:hint="eastAsia"/>
                <w:lang w:val="en-US" w:eastAsia="zh-CN"/>
              </w:rPr>
              <w:t xml:space="preserve">4.2.4.1     凸阵： 频率  1-6 MHz    </w:t>
            </w:r>
          </w:p>
          <w:p w14:paraId="3D982B7D">
            <w:pPr>
              <w:spacing w:line="240" w:lineRule="auto"/>
              <w:jc w:val="left"/>
              <w:rPr>
                <w:rFonts w:hint="eastAsia"/>
                <w:lang w:val="en-US" w:eastAsia="zh-CN"/>
              </w:rPr>
            </w:pPr>
            <w:r>
              <w:rPr>
                <w:rFonts w:hint="eastAsia"/>
                <w:lang w:val="en-US" w:eastAsia="zh-CN"/>
              </w:rPr>
              <w:t xml:space="preserve">4.2.4.2     线阵： 频率  2-12 MHz </w:t>
            </w:r>
          </w:p>
          <w:p w14:paraId="69B8CE7B">
            <w:pPr>
              <w:spacing w:line="240" w:lineRule="auto"/>
              <w:jc w:val="left"/>
              <w:rPr>
                <w:rFonts w:hint="eastAsia"/>
                <w:lang w:val="en-US" w:eastAsia="zh-CN"/>
              </w:rPr>
            </w:pPr>
            <w:r>
              <w:rPr>
                <w:rFonts w:hint="eastAsia"/>
                <w:lang w:val="en-US" w:eastAsia="zh-CN"/>
              </w:rPr>
              <w:t xml:space="preserve">4.2.4.3     线阵：  频率5 -18 MHz </w:t>
            </w:r>
          </w:p>
          <w:p w14:paraId="4847355E">
            <w:pPr>
              <w:spacing w:line="240" w:lineRule="auto"/>
              <w:jc w:val="left"/>
              <w:rPr>
                <w:rFonts w:hint="eastAsia"/>
                <w:lang w:val="en-US" w:eastAsia="zh-CN"/>
              </w:rPr>
            </w:pPr>
            <w:r>
              <w:rPr>
                <w:rFonts w:hint="eastAsia"/>
                <w:lang w:val="en-US" w:eastAsia="zh-CN"/>
              </w:rPr>
              <w:t xml:space="preserve">4.2.4.3    相控阵：频率  1-5 MHz </w:t>
            </w:r>
          </w:p>
          <w:p w14:paraId="057D8612">
            <w:pPr>
              <w:spacing w:line="240" w:lineRule="auto"/>
              <w:jc w:val="left"/>
              <w:rPr>
                <w:rFonts w:hint="eastAsia"/>
                <w:lang w:val="en-US" w:eastAsia="zh-CN"/>
              </w:rPr>
            </w:pPr>
            <w:r>
              <w:rPr>
                <w:rFonts w:hint="eastAsia"/>
                <w:lang w:val="en-US" w:eastAsia="zh-CN"/>
              </w:rPr>
              <w:t>*4.2.4.4  微凸阵：超声频率2-10MHz，最大扫查角度≥200度</w:t>
            </w:r>
          </w:p>
          <w:p w14:paraId="51684F3E">
            <w:pPr>
              <w:spacing w:line="240" w:lineRule="auto"/>
              <w:jc w:val="left"/>
              <w:rPr>
                <w:rFonts w:hint="eastAsia"/>
                <w:lang w:val="en-US" w:eastAsia="zh-CN"/>
              </w:rPr>
            </w:pPr>
            <w:r>
              <w:rPr>
                <w:rFonts w:hint="eastAsia"/>
                <w:lang w:val="en-US" w:eastAsia="zh-CN"/>
              </w:rPr>
              <w:t>4.2.5   最大扫描深度≥40cm</w:t>
            </w:r>
          </w:p>
          <w:p w14:paraId="413702E4">
            <w:pPr>
              <w:spacing w:line="240" w:lineRule="auto"/>
              <w:jc w:val="left"/>
              <w:rPr>
                <w:rFonts w:hint="eastAsia"/>
                <w:lang w:val="en-US" w:eastAsia="zh-CN"/>
              </w:rPr>
            </w:pPr>
            <w:r>
              <w:rPr>
                <w:rFonts w:hint="eastAsia"/>
                <w:lang w:val="en-US" w:eastAsia="zh-CN"/>
              </w:rPr>
              <w:t>4.3   灰阶显像主要参数：</w:t>
            </w:r>
          </w:p>
          <w:p w14:paraId="56D1AB42">
            <w:pPr>
              <w:spacing w:line="240" w:lineRule="auto"/>
              <w:jc w:val="left"/>
              <w:rPr>
                <w:rFonts w:hint="eastAsia"/>
                <w:lang w:val="en-US" w:eastAsia="zh-CN"/>
              </w:rPr>
            </w:pPr>
            <w:r>
              <w:rPr>
                <w:rFonts w:hint="eastAsia"/>
                <w:lang w:val="en-US" w:eastAsia="zh-CN"/>
              </w:rPr>
              <w:t>4.3.1   发射方式：复合脉冲发射器</w:t>
            </w:r>
          </w:p>
          <w:p w14:paraId="1B84AA40">
            <w:pPr>
              <w:spacing w:line="240" w:lineRule="auto"/>
              <w:jc w:val="left"/>
              <w:rPr>
                <w:rFonts w:hint="eastAsia"/>
                <w:lang w:val="en-US" w:eastAsia="zh-CN"/>
              </w:rPr>
            </w:pPr>
            <w:r>
              <w:rPr>
                <w:rFonts w:hint="eastAsia"/>
                <w:lang w:val="en-US" w:eastAsia="zh-CN"/>
              </w:rPr>
              <w:t>4.3.2   接收方式： 多重高速数字化波束形成器</w:t>
            </w:r>
          </w:p>
          <w:p w14:paraId="7B6CDBF9">
            <w:pPr>
              <w:spacing w:line="240" w:lineRule="auto"/>
              <w:jc w:val="left"/>
              <w:rPr>
                <w:rFonts w:hint="eastAsia"/>
                <w:lang w:val="en-US" w:eastAsia="zh-CN"/>
              </w:rPr>
            </w:pPr>
            <w:r>
              <w:rPr>
                <w:rFonts w:hint="eastAsia"/>
                <w:lang w:val="en-US" w:eastAsia="zh-CN"/>
              </w:rPr>
              <w:t xml:space="preserve">4.3.3   数字式声束形成器：数字式可变孔径及动态变迹， A/D≥12-bit </w:t>
            </w:r>
          </w:p>
          <w:p w14:paraId="0CF0B42D">
            <w:pPr>
              <w:spacing w:line="240" w:lineRule="auto"/>
              <w:jc w:val="left"/>
              <w:rPr>
                <w:rFonts w:hint="eastAsia"/>
                <w:lang w:val="en-US" w:eastAsia="zh-CN"/>
              </w:rPr>
            </w:pPr>
            <w:r>
              <w:rPr>
                <w:rFonts w:hint="eastAsia"/>
                <w:lang w:val="en-US" w:eastAsia="zh-CN"/>
              </w:rPr>
              <w:t>4.3.4   增益调节： B、 M、 D 可独立调节</w:t>
            </w:r>
          </w:p>
          <w:p w14:paraId="1FDDAA9B">
            <w:pPr>
              <w:spacing w:line="240" w:lineRule="auto"/>
              <w:jc w:val="left"/>
              <w:rPr>
                <w:rFonts w:hint="eastAsia"/>
                <w:lang w:val="en-US" w:eastAsia="zh-CN"/>
              </w:rPr>
            </w:pPr>
            <w:r>
              <w:rPr>
                <w:rFonts w:hint="eastAsia"/>
                <w:lang w:val="en-US" w:eastAsia="zh-CN"/>
              </w:rPr>
              <w:t xml:space="preserve">*4.3.4.1   TGC 时间增益补偿≥8 段， LGC 侧向增益补偿≥8 段 </w:t>
            </w:r>
          </w:p>
          <w:p w14:paraId="2800D055">
            <w:pPr>
              <w:spacing w:line="240" w:lineRule="auto"/>
              <w:jc w:val="left"/>
              <w:rPr>
                <w:rFonts w:hint="eastAsia"/>
                <w:lang w:val="en-US" w:eastAsia="zh-CN"/>
              </w:rPr>
            </w:pPr>
            <w:r>
              <w:rPr>
                <w:rFonts w:hint="eastAsia"/>
                <w:lang w:val="en-US" w:eastAsia="zh-CN"/>
              </w:rPr>
              <w:t>4.3.4.2   实时及冻结后均可调</w:t>
            </w:r>
          </w:p>
          <w:p w14:paraId="22FE5ECD">
            <w:pPr>
              <w:spacing w:line="240" w:lineRule="auto"/>
              <w:jc w:val="left"/>
              <w:rPr>
                <w:rFonts w:hint="eastAsia"/>
                <w:lang w:val="en-US" w:eastAsia="zh-CN"/>
              </w:rPr>
            </w:pPr>
            <w:r>
              <w:rPr>
                <w:rFonts w:hint="eastAsia"/>
                <w:lang w:val="en-US" w:eastAsia="zh-CN"/>
              </w:rPr>
              <w:t>4.3.5   成像速率</w:t>
            </w:r>
          </w:p>
          <w:p w14:paraId="68DC3536">
            <w:pPr>
              <w:spacing w:line="240" w:lineRule="auto"/>
              <w:jc w:val="left"/>
              <w:rPr>
                <w:rFonts w:hint="eastAsia"/>
                <w:lang w:val="en-US" w:eastAsia="zh-CN"/>
              </w:rPr>
            </w:pPr>
            <w:r>
              <w:rPr>
                <w:rFonts w:hint="eastAsia"/>
                <w:lang w:val="en-US" w:eastAsia="zh-CN"/>
              </w:rPr>
              <w:t>4.3.5.1   凸阵探头， 全视野， 18cm 深，帧速率≥40 帧/秒</w:t>
            </w:r>
          </w:p>
          <w:p w14:paraId="31B785BD">
            <w:pPr>
              <w:spacing w:line="240" w:lineRule="auto"/>
              <w:jc w:val="left"/>
              <w:rPr>
                <w:rFonts w:hint="eastAsia"/>
                <w:lang w:val="en-US" w:eastAsia="zh-CN"/>
              </w:rPr>
            </w:pPr>
            <w:r>
              <w:rPr>
                <w:rFonts w:hint="eastAsia"/>
                <w:lang w:val="en-US" w:eastAsia="zh-CN"/>
              </w:rPr>
              <w:t>4.3.5.2   相控阵探头，全视野， 18cm 深， 帧速率≥60 帧/秒</w:t>
            </w:r>
          </w:p>
          <w:p w14:paraId="25AE4644">
            <w:pPr>
              <w:spacing w:line="240" w:lineRule="auto"/>
              <w:jc w:val="left"/>
              <w:rPr>
                <w:rFonts w:hint="eastAsia"/>
                <w:lang w:val="en-US" w:eastAsia="zh-CN"/>
              </w:rPr>
            </w:pPr>
            <w:r>
              <w:rPr>
                <w:rFonts w:hint="eastAsia"/>
                <w:lang w:val="en-US" w:eastAsia="zh-CN"/>
              </w:rPr>
              <w:t>4.4   频谱多普勒：</w:t>
            </w:r>
          </w:p>
          <w:p w14:paraId="7C6C8D57">
            <w:pPr>
              <w:spacing w:line="240" w:lineRule="auto"/>
              <w:jc w:val="left"/>
              <w:rPr>
                <w:rFonts w:hint="eastAsia"/>
                <w:lang w:val="en-US" w:eastAsia="zh-CN"/>
              </w:rPr>
            </w:pPr>
            <w:r>
              <w:rPr>
                <w:rFonts w:hint="eastAsia"/>
                <w:lang w:val="en-US" w:eastAsia="zh-CN"/>
              </w:rPr>
              <w:t>4.4.1   显示模式：脉冲波多普勒， 包括高频脉冲、； 多门多普勒</w:t>
            </w:r>
          </w:p>
          <w:p w14:paraId="040D2173">
            <w:pPr>
              <w:spacing w:line="240" w:lineRule="auto"/>
              <w:jc w:val="left"/>
              <w:rPr>
                <w:rFonts w:hint="eastAsia"/>
                <w:lang w:val="en-US" w:eastAsia="zh-CN"/>
              </w:rPr>
            </w:pPr>
            <w:r>
              <w:rPr>
                <w:rFonts w:hint="eastAsia"/>
                <w:lang w:val="en-US" w:eastAsia="zh-CN"/>
              </w:rPr>
              <w:t>4.4.2   多普勒频率可视可调</w:t>
            </w:r>
          </w:p>
          <w:p w14:paraId="43AD0164">
            <w:pPr>
              <w:spacing w:line="240" w:lineRule="auto"/>
              <w:jc w:val="left"/>
              <w:rPr>
                <w:rFonts w:hint="eastAsia"/>
                <w:lang w:val="en-US" w:eastAsia="zh-CN"/>
              </w:rPr>
            </w:pPr>
            <w:r>
              <w:rPr>
                <w:rFonts w:hint="eastAsia"/>
                <w:lang w:val="en-US" w:eastAsia="zh-CN"/>
              </w:rPr>
              <w:t>4.4.3   多普勒基准频率：</w:t>
            </w:r>
          </w:p>
          <w:p w14:paraId="72221471">
            <w:pPr>
              <w:spacing w:line="240" w:lineRule="auto"/>
              <w:jc w:val="left"/>
              <w:rPr>
                <w:rFonts w:hint="eastAsia"/>
                <w:lang w:val="en-US" w:eastAsia="zh-CN"/>
              </w:rPr>
            </w:pPr>
            <w:r>
              <w:rPr>
                <w:rFonts w:hint="eastAsia"/>
                <w:lang w:val="en-US" w:eastAsia="zh-CN"/>
              </w:rPr>
              <w:t>凸阵： PWD； 2.14 ~ 3.16MHz</w:t>
            </w:r>
          </w:p>
          <w:p w14:paraId="0152895F">
            <w:pPr>
              <w:spacing w:line="240" w:lineRule="auto"/>
              <w:jc w:val="left"/>
              <w:rPr>
                <w:rFonts w:hint="eastAsia"/>
                <w:lang w:val="en-US" w:eastAsia="zh-CN"/>
              </w:rPr>
            </w:pPr>
            <w:r>
              <w:rPr>
                <w:rFonts w:hint="eastAsia"/>
                <w:lang w:val="en-US" w:eastAsia="zh-CN"/>
              </w:rPr>
              <w:t xml:space="preserve">线阵： PWD； 4.00 ~ 6.32MHz  </w:t>
            </w:r>
          </w:p>
          <w:p w14:paraId="3C0A0AAC">
            <w:pPr>
              <w:spacing w:line="240" w:lineRule="auto"/>
              <w:jc w:val="left"/>
              <w:rPr>
                <w:rFonts w:hint="eastAsia"/>
                <w:lang w:val="en-US" w:eastAsia="zh-CN"/>
              </w:rPr>
            </w:pPr>
            <w:r>
              <w:rPr>
                <w:rFonts w:hint="eastAsia"/>
                <w:lang w:val="en-US" w:eastAsia="zh-CN"/>
              </w:rPr>
              <w:t xml:space="preserve">相控阵： PWD： 1.50 ~ 2.50MHz </w:t>
            </w:r>
          </w:p>
          <w:p w14:paraId="29C430E9">
            <w:pPr>
              <w:spacing w:line="240" w:lineRule="auto"/>
              <w:jc w:val="left"/>
              <w:rPr>
                <w:rFonts w:hint="eastAsia"/>
                <w:lang w:val="en-US" w:eastAsia="zh-CN"/>
              </w:rPr>
            </w:pPr>
            <w:r>
              <w:rPr>
                <w:rFonts w:hint="eastAsia"/>
                <w:lang w:val="en-US" w:eastAsia="zh-CN"/>
              </w:rPr>
              <w:t>4.4.4   最大测量速度：</w:t>
            </w:r>
          </w:p>
          <w:p w14:paraId="3618FC05">
            <w:pPr>
              <w:spacing w:line="240" w:lineRule="auto"/>
              <w:jc w:val="left"/>
              <w:rPr>
                <w:rFonts w:hint="eastAsia"/>
                <w:lang w:val="en-US" w:eastAsia="zh-CN"/>
              </w:rPr>
            </w:pPr>
            <w:r>
              <w:rPr>
                <w:rFonts w:hint="eastAsia"/>
                <w:lang w:val="en-US" w:eastAsia="zh-CN"/>
              </w:rPr>
              <w:t>4.4.4.1   PWD 正向或反向血流速度≥8m/s</w:t>
            </w:r>
          </w:p>
          <w:p w14:paraId="27A3926E">
            <w:pPr>
              <w:spacing w:line="240" w:lineRule="auto"/>
              <w:jc w:val="left"/>
              <w:rPr>
                <w:rFonts w:hint="eastAsia"/>
                <w:lang w:val="en-US" w:eastAsia="zh-CN"/>
              </w:rPr>
            </w:pPr>
            <w:r>
              <w:rPr>
                <w:rFonts w:hint="eastAsia"/>
                <w:lang w:val="en-US" w:eastAsia="zh-CN"/>
              </w:rPr>
              <w:t xml:space="preserve">4.4.4.2   CWD 正向或反向血流速度≥16m/s </w:t>
            </w:r>
          </w:p>
          <w:p w14:paraId="3E1B01E4">
            <w:pPr>
              <w:spacing w:line="240" w:lineRule="auto"/>
              <w:jc w:val="left"/>
              <w:rPr>
                <w:rFonts w:hint="eastAsia"/>
                <w:lang w:val="en-US" w:eastAsia="zh-CN"/>
              </w:rPr>
            </w:pPr>
            <w:r>
              <w:rPr>
                <w:rFonts w:hint="eastAsia"/>
                <w:lang w:val="en-US" w:eastAsia="zh-CN"/>
              </w:rPr>
              <w:t>4.4.5   最低测量速度： ≤1mm/s （非噪声信号）</w:t>
            </w:r>
          </w:p>
          <w:p w14:paraId="444EDBE1">
            <w:pPr>
              <w:spacing w:line="240" w:lineRule="auto"/>
              <w:jc w:val="left"/>
              <w:rPr>
                <w:rFonts w:hint="eastAsia"/>
                <w:lang w:val="en-US" w:eastAsia="zh-CN"/>
              </w:rPr>
            </w:pPr>
            <w:r>
              <w:rPr>
                <w:rFonts w:hint="eastAsia"/>
                <w:lang w:val="en-US" w:eastAsia="zh-CN"/>
              </w:rPr>
              <w:t>4.4.6  取样容积大小及位置范围：宽度 0.5mm 至 20mm 逐段可调</w:t>
            </w:r>
          </w:p>
          <w:p w14:paraId="2D236355">
            <w:pPr>
              <w:spacing w:line="240" w:lineRule="auto"/>
              <w:jc w:val="left"/>
              <w:rPr>
                <w:rFonts w:hint="eastAsia"/>
                <w:lang w:val="en-US" w:eastAsia="zh-CN"/>
              </w:rPr>
            </w:pPr>
            <w:r>
              <w:rPr>
                <w:rFonts w:hint="eastAsia"/>
                <w:lang w:val="en-US" w:eastAsia="zh-CN"/>
              </w:rPr>
              <w:t>4.4.7   多普勒基线位置可实时调节或冻结后再调节</w:t>
            </w:r>
          </w:p>
          <w:p w14:paraId="7464346B">
            <w:pPr>
              <w:spacing w:line="240" w:lineRule="auto"/>
              <w:jc w:val="left"/>
              <w:rPr>
                <w:rFonts w:hint="eastAsia"/>
                <w:lang w:val="en-US" w:eastAsia="zh-CN"/>
              </w:rPr>
            </w:pPr>
            <w:r>
              <w:rPr>
                <w:rFonts w:hint="eastAsia"/>
                <w:lang w:val="en-US" w:eastAsia="zh-CN"/>
              </w:rPr>
              <w:t>4.5   彩色多普勒</w:t>
            </w:r>
          </w:p>
          <w:p w14:paraId="788D3CF5">
            <w:pPr>
              <w:spacing w:line="240" w:lineRule="auto"/>
              <w:jc w:val="left"/>
              <w:rPr>
                <w:rFonts w:hint="eastAsia"/>
                <w:lang w:val="en-US" w:eastAsia="zh-CN"/>
              </w:rPr>
            </w:pPr>
            <w:r>
              <w:rPr>
                <w:rFonts w:hint="eastAsia"/>
                <w:lang w:val="en-US" w:eastAsia="zh-CN"/>
              </w:rPr>
              <w:t>4.5.1   显示方式： 速度显示、方差显示、速度+方差显示</w:t>
            </w:r>
          </w:p>
          <w:p w14:paraId="5BE8B595">
            <w:pPr>
              <w:spacing w:line="240" w:lineRule="auto"/>
              <w:jc w:val="left"/>
              <w:rPr>
                <w:rFonts w:hint="eastAsia"/>
                <w:lang w:val="en-US" w:eastAsia="zh-CN"/>
              </w:rPr>
            </w:pPr>
            <w:r>
              <w:rPr>
                <w:rFonts w:hint="eastAsia"/>
                <w:lang w:val="en-US" w:eastAsia="zh-CN"/>
              </w:rPr>
              <w:t xml:space="preserve">4.5.2   彩色增强功能：组织多普勒成像，能量图，方向性能量图 </w:t>
            </w:r>
          </w:p>
          <w:p w14:paraId="743D8A96">
            <w:pPr>
              <w:spacing w:line="240" w:lineRule="auto"/>
              <w:jc w:val="left"/>
              <w:rPr>
                <w:rFonts w:hint="eastAsia"/>
                <w:lang w:val="en-US" w:eastAsia="zh-CN"/>
              </w:rPr>
            </w:pPr>
            <w:r>
              <w:rPr>
                <w:rFonts w:hint="eastAsia"/>
                <w:lang w:val="en-US" w:eastAsia="zh-CN"/>
              </w:rPr>
              <w:t>4.5.3   高分辨率血流</w:t>
            </w:r>
          </w:p>
          <w:p w14:paraId="6FD19408">
            <w:pPr>
              <w:spacing w:line="240" w:lineRule="auto"/>
              <w:jc w:val="left"/>
              <w:rPr>
                <w:rFonts w:hint="eastAsia"/>
                <w:lang w:val="en-US" w:eastAsia="zh-CN"/>
              </w:rPr>
            </w:pPr>
            <w:r>
              <w:rPr>
                <w:rFonts w:hint="eastAsia"/>
                <w:lang w:val="en-US" w:eastAsia="zh-CN"/>
              </w:rPr>
              <w:t>*4.5.4  显示位置调整：线阵扫描感兴趣区的图像范围-30°~ +30°</w:t>
            </w:r>
          </w:p>
          <w:p w14:paraId="63094A65">
            <w:pPr>
              <w:spacing w:line="240" w:lineRule="auto"/>
              <w:jc w:val="left"/>
              <w:rPr>
                <w:rFonts w:hint="eastAsia"/>
                <w:lang w:val="en-US" w:eastAsia="zh-CN"/>
              </w:rPr>
            </w:pPr>
            <w:r>
              <w:rPr>
                <w:rFonts w:hint="eastAsia"/>
                <w:lang w:val="en-US" w:eastAsia="zh-CN"/>
              </w:rPr>
              <w:t>4.5.5   成像速率</w:t>
            </w:r>
          </w:p>
          <w:p w14:paraId="0D5AE3B8">
            <w:pPr>
              <w:spacing w:line="240" w:lineRule="auto"/>
              <w:jc w:val="left"/>
              <w:rPr>
                <w:rFonts w:hint="eastAsia"/>
                <w:lang w:val="en-US" w:eastAsia="zh-CN"/>
              </w:rPr>
            </w:pPr>
            <w:r>
              <w:rPr>
                <w:rFonts w:hint="eastAsia"/>
                <w:lang w:val="en-US" w:eastAsia="zh-CN"/>
              </w:rPr>
              <w:t>4.5.5.1   凸阵探头，全视野，18cm 深，彩色显示帧频≥15 帧/秒</w:t>
            </w:r>
          </w:p>
          <w:p w14:paraId="6F9E6A21">
            <w:pPr>
              <w:spacing w:line="240" w:lineRule="auto"/>
              <w:jc w:val="left"/>
              <w:rPr>
                <w:rFonts w:hint="eastAsia"/>
                <w:lang w:val="en-US" w:eastAsia="zh-CN"/>
              </w:rPr>
            </w:pPr>
            <w:r>
              <w:rPr>
                <w:rFonts w:hint="eastAsia"/>
                <w:lang w:val="en-US" w:eastAsia="zh-CN"/>
              </w:rPr>
              <w:t>4.5.5.2   相控阵探头，全视野，18cm深彩色显示帧频≥30 帧/秒</w:t>
            </w:r>
          </w:p>
          <w:p w14:paraId="6BAA948B">
            <w:pPr>
              <w:spacing w:line="240" w:lineRule="auto"/>
              <w:jc w:val="left"/>
              <w:rPr>
                <w:rFonts w:hint="eastAsia"/>
                <w:lang w:val="en-US" w:eastAsia="zh-CN"/>
              </w:rPr>
            </w:pPr>
            <w:r>
              <w:rPr>
                <w:rFonts w:hint="eastAsia"/>
                <w:lang w:val="en-US" w:eastAsia="zh-CN"/>
              </w:rPr>
              <w:t>4.6   数字化图像管理与记录装置</w:t>
            </w:r>
          </w:p>
          <w:p w14:paraId="7331E4C1">
            <w:pPr>
              <w:spacing w:line="240" w:lineRule="auto"/>
              <w:jc w:val="left"/>
              <w:rPr>
                <w:rFonts w:hint="eastAsia"/>
                <w:lang w:val="en-US" w:eastAsia="zh-CN"/>
              </w:rPr>
            </w:pPr>
            <w:r>
              <w:rPr>
                <w:rFonts w:hint="eastAsia"/>
                <w:lang w:val="en-US" w:eastAsia="zh-CN"/>
              </w:rPr>
              <w:t>五、外设设备：甲状腺、乳腺超声AI辅助系统一套</w:t>
            </w:r>
          </w:p>
          <w:p w14:paraId="54C63E57">
            <w:pPr>
              <w:spacing w:line="240" w:lineRule="auto"/>
              <w:jc w:val="left"/>
              <w:rPr>
                <w:rFonts w:hint="eastAsia"/>
                <w:lang w:val="en-US" w:eastAsia="zh-CN"/>
              </w:rPr>
            </w:pPr>
            <w:r>
              <w:rPr>
                <w:rFonts w:hint="eastAsia"/>
                <w:lang w:val="en-US" w:eastAsia="zh-CN"/>
              </w:rPr>
              <w:t>5.1、产品描述：适用于甲状腺病灶、女性乳腺结节的超声筛查，基于人工智能技术实现病灶动态识别定位、智能评估病灶特征、标准化测量病灶参数、实时分析病灶良恶性等核心功能，可自动存取病灶最优切面并一键生成智能结构化报告。能有效降低对操作者临床经验的依赖，减少误诊漏诊概率，提升诊断准确性与结果标准化程度，同时降低筛查人力成本，为各级医院医生提供专业的超声智能筛查服务。</w:t>
            </w:r>
          </w:p>
          <w:p w14:paraId="7FF3CAE1">
            <w:pPr>
              <w:spacing w:line="240" w:lineRule="auto"/>
              <w:jc w:val="left"/>
              <w:rPr>
                <w:rFonts w:hint="eastAsia"/>
                <w:lang w:val="en-US" w:eastAsia="zh-CN"/>
              </w:rPr>
            </w:pPr>
            <w:r>
              <w:rPr>
                <w:rFonts w:hint="eastAsia"/>
                <w:lang w:val="en-US" w:eastAsia="zh-CN"/>
              </w:rPr>
              <w:t>5.2、技术参数与规格</w:t>
            </w:r>
          </w:p>
          <w:p w14:paraId="1123BEFE">
            <w:pPr>
              <w:spacing w:line="240" w:lineRule="auto"/>
              <w:jc w:val="left"/>
              <w:rPr>
                <w:rFonts w:hint="eastAsia"/>
                <w:lang w:val="en-US" w:eastAsia="zh-CN"/>
              </w:rPr>
            </w:pPr>
            <w:r>
              <w:rPr>
                <w:rFonts w:hint="eastAsia"/>
                <w:lang w:val="en-US" w:eastAsia="zh-CN"/>
              </w:rPr>
              <w:t>5.2.1. ▲提供具备相关主管部门要求的认证资料：提供所投产品软件且具备相关影像处理功能的NMPA《医疗器械注册证》。</w:t>
            </w:r>
          </w:p>
          <w:p w14:paraId="417C1F4A">
            <w:pPr>
              <w:spacing w:line="240" w:lineRule="auto"/>
              <w:jc w:val="left"/>
              <w:rPr>
                <w:rFonts w:hint="eastAsia"/>
                <w:lang w:val="en-US" w:eastAsia="zh-CN"/>
              </w:rPr>
            </w:pPr>
            <w:r>
              <w:rPr>
                <w:rFonts w:hint="eastAsia"/>
                <w:lang w:val="en-US" w:eastAsia="zh-CN"/>
              </w:rPr>
              <w:t>5.2.2. 实时获取视频流：支持与多款/多品牌彩超机视频流对接，获取实时视频动态图像。</w:t>
            </w:r>
          </w:p>
          <w:p w14:paraId="582945FD">
            <w:pPr>
              <w:spacing w:line="240" w:lineRule="auto"/>
              <w:jc w:val="left"/>
              <w:rPr>
                <w:rFonts w:hint="eastAsia"/>
                <w:lang w:val="en-US" w:eastAsia="zh-CN"/>
              </w:rPr>
            </w:pPr>
            <w:r>
              <w:rPr>
                <w:rFonts w:hint="eastAsia"/>
                <w:lang w:val="en-US" w:eastAsia="zh-CN"/>
              </w:rPr>
              <w:t>5.2.3. ★实时病灶动态检出：支持甲状腺、乳腺病灶动态实时检出与分析，并实时提供提示框显示病灶信息，提供结节长、短径自动测量与显示。</w:t>
            </w:r>
          </w:p>
          <w:p w14:paraId="6E2182F8">
            <w:pPr>
              <w:spacing w:line="240" w:lineRule="auto"/>
              <w:jc w:val="left"/>
              <w:rPr>
                <w:rFonts w:hint="eastAsia"/>
                <w:lang w:val="en-US" w:eastAsia="zh-CN"/>
              </w:rPr>
            </w:pPr>
            <w:r>
              <w:rPr>
                <w:rFonts w:hint="eastAsia"/>
                <w:lang w:val="en-US" w:eastAsia="zh-CN"/>
              </w:rPr>
              <w:t>5.2.4. 实现结节特征属性分析：可自动分析甲状腺结节（大小、方位、成分、边缘、边界、内部回声、后方回声、钙化、血流）、乳腺结节（大小、方位、形状、轮廓、边缘、钙化、血流）的特征属性。</w:t>
            </w:r>
          </w:p>
          <w:p w14:paraId="0DA3C361">
            <w:pPr>
              <w:spacing w:line="240" w:lineRule="auto"/>
              <w:jc w:val="left"/>
              <w:rPr>
                <w:rFonts w:hint="eastAsia"/>
                <w:lang w:val="en-US" w:eastAsia="zh-CN"/>
              </w:rPr>
            </w:pPr>
            <w:r>
              <w:rPr>
                <w:rFonts w:hint="eastAsia"/>
                <w:lang w:val="en-US" w:eastAsia="zh-CN"/>
              </w:rPr>
              <w:t>5.2.5. ★多部位检查智能切换：支持甲状腺、乳腺模块安装在同一台设备，并支持模块功能的智能识别切换，同时支持PACS对接等方式回传分析结果。</w:t>
            </w:r>
          </w:p>
          <w:p w14:paraId="0E67D7FE">
            <w:pPr>
              <w:spacing w:line="240" w:lineRule="auto"/>
              <w:jc w:val="left"/>
              <w:rPr>
                <w:rFonts w:hint="eastAsia"/>
                <w:lang w:val="en-US" w:eastAsia="zh-CN"/>
              </w:rPr>
            </w:pPr>
            <w:r>
              <w:rPr>
                <w:rFonts w:hint="eastAsia"/>
                <w:lang w:val="en-US" w:eastAsia="zh-CN"/>
              </w:rPr>
              <w:t>5.2.6. ★病灶分级与恶性概率显示：识别甲状腺病灶后提供TI-RADS分类结果（1级、2级、3级、4级、5级）；识别乳腺病灶后提供BI-RADS分级（1级、2级、3级、4A级、4B级、4C级、5级）；分析全程提供进度框动态显示过程，实时展示病灶的恶性概率。</w:t>
            </w:r>
          </w:p>
          <w:p w14:paraId="7953482F">
            <w:pPr>
              <w:spacing w:line="240" w:lineRule="auto"/>
              <w:jc w:val="left"/>
              <w:rPr>
                <w:rFonts w:hint="eastAsia"/>
                <w:lang w:val="en-US" w:eastAsia="zh-CN"/>
              </w:rPr>
            </w:pPr>
            <w:r>
              <w:rPr>
                <w:rFonts w:hint="eastAsia"/>
                <w:lang w:val="en-US" w:eastAsia="zh-CN"/>
              </w:rPr>
              <w:t>5.2.7. 视频与图片分析：支持对动态视频和静态图片进行甲状腺、乳腺病灶分析，提供黄、绿等不同颜色提示框显示不同类别病灶分析结果，针对动态影像可实现结节最大切面智能捕捉。</w:t>
            </w:r>
          </w:p>
          <w:p w14:paraId="17B70DA7">
            <w:pPr>
              <w:spacing w:line="240" w:lineRule="auto"/>
              <w:jc w:val="left"/>
              <w:rPr>
                <w:rFonts w:hint="eastAsia"/>
                <w:lang w:val="en-US" w:eastAsia="zh-CN"/>
              </w:rPr>
            </w:pPr>
            <w:r>
              <w:rPr>
                <w:rFonts w:hint="eastAsia"/>
                <w:lang w:val="en-US" w:eastAsia="zh-CN"/>
              </w:rPr>
              <w:t>5.2.8. ★批量上传回顾分析：可一次性上传多份视频或图像，系统自动生成病灶类型预测结果、恶性概率及影像特征等参数分析结果，生成符合医院检查规范的结构化图文报告；针对多个病灶的图片，可实现报告预览、报告重置和批量导出病灶信息、图片、视频和报告。</w:t>
            </w:r>
          </w:p>
          <w:p w14:paraId="27B88690">
            <w:pPr>
              <w:spacing w:line="240" w:lineRule="auto"/>
              <w:jc w:val="left"/>
              <w:rPr>
                <w:rFonts w:hint="eastAsia"/>
                <w:lang w:val="en-US" w:eastAsia="zh-CN"/>
              </w:rPr>
            </w:pPr>
            <w:r>
              <w:rPr>
                <w:rFonts w:hint="eastAsia"/>
                <w:lang w:val="en-US" w:eastAsia="zh-CN"/>
              </w:rPr>
              <w:t>5.2.9. 病例管理功能：支持用户进行病例管理、存储、检索、导出和回顾，同时支持科室数据管理和统计。</w:t>
            </w:r>
          </w:p>
          <w:p w14:paraId="28A2474D">
            <w:pPr>
              <w:spacing w:line="240" w:lineRule="auto"/>
              <w:jc w:val="left"/>
              <w:rPr>
                <w:rFonts w:hint="eastAsia"/>
                <w:lang w:val="en-US" w:eastAsia="zh-CN"/>
              </w:rPr>
            </w:pPr>
            <w:r>
              <w:rPr>
                <w:rFonts w:hint="eastAsia"/>
                <w:lang w:val="en-US" w:eastAsia="zh-CN"/>
              </w:rPr>
              <w:t>5.2.10. 结构化报告：支持将实时智能分析结果转化为超声报告内容，按常见超声检查报告生成结构化图文报告。</w:t>
            </w:r>
          </w:p>
          <w:p w14:paraId="024D1B9B">
            <w:pPr>
              <w:spacing w:line="240" w:lineRule="auto"/>
              <w:jc w:val="left"/>
              <w:rPr>
                <w:rFonts w:hint="eastAsia"/>
                <w:lang w:val="en-US" w:eastAsia="zh-CN"/>
              </w:rPr>
            </w:pPr>
            <w:r>
              <w:rPr>
                <w:rFonts w:hint="eastAsia"/>
                <w:lang w:val="en-US" w:eastAsia="zh-CN"/>
              </w:rPr>
              <w:t>5.2.11. 图像推送功能：支持与超声工作站对接，可将分析结果发送至超声工作站。</w:t>
            </w:r>
          </w:p>
          <w:p w14:paraId="22C7609D">
            <w:pPr>
              <w:spacing w:line="240" w:lineRule="auto"/>
              <w:jc w:val="left"/>
              <w:rPr>
                <w:rFonts w:hint="eastAsia"/>
                <w:lang w:val="en-US" w:eastAsia="zh-CN"/>
              </w:rPr>
            </w:pPr>
            <w:r>
              <w:rPr>
                <w:rFonts w:hint="eastAsia"/>
                <w:lang w:val="en-US" w:eastAsia="zh-CN"/>
              </w:rPr>
              <w:t>5.3、硬件配置</w:t>
            </w:r>
          </w:p>
          <w:p w14:paraId="06F94B03">
            <w:pPr>
              <w:spacing w:line="240" w:lineRule="auto"/>
              <w:jc w:val="left"/>
              <w:rPr>
                <w:rFonts w:hint="eastAsia"/>
                <w:lang w:val="en-US" w:eastAsia="zh-CN"/>
              </w:rPr>
            </w:pPr>
            <w:r>
              <w:rPr>
                <w:rFonts w:hint="eastAsia"/>
                <w:lang w:val="en-US" w:eastAsia="zh-CN"/>
              </w:rPr>
              <w:t>5.3.1. AI主机，1套</w:t>
            </w:r>
          </w:p>
          <w:p w14:paraId="26E3A287">
            <w:pPr>
              <w:spacing w:line="240" w:lineRule="auto"/>
              <w:jc w:val="left"/>
              <w:rPr>
                <w:rFonts w:hint="eastAsia"/>
                <w:lang w:val="en-US" w:eastAsia="zh-CN"/>
              </w:rPr>
            </w:pPr>
            <w:r>
              <w:rPr>
                <w:rFonts w:hint="eastAsia"/>
                <w:lang w:val="en-US" w:eastAsia="zh-CN"/>
              </w:rPr>
              <w:t>1）CPU核心数 ≥ 4</w:t>
            </w:r>
          </w:p>
          <w:p w14:paraId="5930B9BD">
            <w:pPr>
              <w:spacing w:line="240" w:lineRule="auto"/>
              <w:jc w:val="left"/>
              <w:rPr>
                <w:rFonts w:hint="eastAsia"/>
                <w:lang w:val="en-US" w:eastAsia="zh-CN"/>
              </w:rPr>
            </w:pPr>
            <w:r>
              <w:rPr>
                <w:rFonts w:hint="eastAsia"/>
                <w:lang w:val="en-US" w:eastAsia="zh-CN"/>
              </w:rPr>
              <w:t>2）具备集成显卡（支持1024*768以上分辨率）或独立GPU</w:t>
            </w:r>
          </w:p>
          <w:p w14:paraId="301906DD">
            <w:pPr>
              <w:spacing w:line="240" w:lineRule="auto"/>
              <w:jc w:val="left"/>
              <w:rPr>
                <w:rFonts w:hint="eastAsia"/>
                <w:lang w:val="en-US" w:eastAsia="zh-CN"/>
              </w:rPr>
            </w:pPr>
            <w:r>
              <w:rPr>
                <w:rFonts w:hint="eastAsia"/>
                <w:lang w:val="en-US" w:eastAsia="zh-CN"/>
              </w:rPr>
              <w:t>3） 内存：DDR5 ≥ 16G、硬盘 ≥ SSD 512G</w:t>
            </w:r>
          </w:p>
          <w:p w14:paraId="077504F7">
            <w:pPr>
              <w:spacing w:line="240" w:lineRule="auto"/>
              <w:jc w:val="left"/>
              <w:rPr>
                <w:rFonts w:hint="eastAsia"/>
                <w:lang w:val="en-US" w:eastAsia="zh-CN"/>
              </w:rPr>
            </w:pPr>
            <w:r>
              <w:rPr>
                <w:rFonts w:hint="eastAsia"/>
                <w:lang w:val="en-US" w:eastAsia="zh-CN"/>
              </w:rPr>
              <w:t>5.3.2. 显示屏，1套</w:t>
            </w:r>
          </w:p>
          <w:p w14:paraId="79D51824">
            <w:pPr>
              <w:spacing w:line="240" w:lineRule="auto"/>
              <w:jc w:val="left"/>
              <w:rPr>
                <w:rFonts w:hint="eastAsia"/>
                <w:lang w:val="en-US" w:eastAsia="zh-CN"/>
              </w:rPr>
            </w:pPr>
            <w:r>
              <w:rPr>
                <w:rFonts w:hint="eastAsia"/>
                <w:lang w:val="en-US" w:eastAsia="zh-CN"/>
              </w:rPr>
              <w:t>1）≥15.6英寸触摸液晶显示器、分辨率≥1920*1080</w:t>
            </w:r>
          </w:p>
          <w:p w14:paraId="54020FC7">
            <w:pPr>
              <w:spacing w:line="240" w:lineRule="auto"/>
              <w:jc w:val="left"/>
              <w:rPr>
                <w:rFonts w:hint="eastAsia"/>
                <w:lang w:val="en-US" w:eastAsia="zh-CN"/>
              </w:rPr>
            </w:pPr>
            <w:r>
              <w:rPr>
                <w:rFonts w:hint="eastAsia"/>
                <w:lang w:val="en-US" w:eastAsia="zh-CN"/>
              </w:rPr>
              <w:t>3. 高清采集卡，1套</w:t>
            </w:r>
          </w:p>
          <w:p w14:paraId="26B49729">
            <w:pPr>
              <w:spacing w:line="240" w:lineRule="auto"/>
              <w:jc w:val="left"/>
              <w:rPr>
                <w:rFonts w:hint="eastAsia"/>
                <w:lang w:val="en-US" w:eastAsia="zh-CN"/>
              </w:rPr>
            </w:pPr>
            <w:r>
              <w:rPr>
                <w:rFonts w:hint="eastAsia"/>
                <w:lang w:val="en-US" w:eastAsia="zh-CN"/>
              </w:rPr>
              <w:t>1）分辨率≥1920*1080</w:t>
            </w:r>
          </w:p>
          <w:p w14:paraId="440EFD44">
            <w:pPr>
              <w:spacing w:line="240" w:lineRule="auto"/>
              <w:jc w:val="left"/>
              <w:rPr>
                <w:rFonts w:hint="eastAsia"/>
                <w:lang w:val="en-US" w:eastAsia="zh-CN"/>
              </w:rPr>
            </w:pPr>
            <w:r>
              <w:rPr>
                <w:rFonts w:hint="eastAsia"/>
                <w:lang w:val="en-US" w:eastAsia="zh-CN"/>
              </w:rPr>
              <w:t>六、配置清单</w:t>
            </w:r>
          </w:p>
          <w:tbl>
            <w:tblPr>
              <w:tblStyle w:val="1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9"/>
              <w:gridCol w:w="4087"/>
              <w:gridCol w:w="3688"/>
            </w:tblGrid>
            <w:tr w14:paraId="7892CF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9" w:type="dxa"/>
                  <w:noWrap w:val="0"/>
                  <w:vAlign w:val="top"/>
                </w:tcPr>
                <w:p w14:paraId="6C19B2E9">
                  <w:pPr>
                    <w:spacing w:line="240" w:lineRule="auto"/>
                    <w:jc w:val="left"/>
                    <w:rPr>
                      <w:rFonts w:hint="eastAsia"/>
                      <w:lang w:val="en-US" w:eastAsia="zh-CN"/>
                    </w:rPr>
                  </w:pPr>
                  <w:r>
                    <w:rPr>
                      <w:rFonts w:hint="eastAsia"/>
                      <w:lang w:val="en-US" w:eastAsia="zh-CN"/>
                    </w:rPr>
                    <w:t>序号</w:t>
                  </w:r>
                </w:p>
              </w:tc>
              <w:tc>
                <w:tcPr>
                  <w:tcW w:w="4087" w:type="dxa"/>
                  <w:noWrap w:val="0"/>
                  <w:vAlign w:val="top"/>
                </w:tcPr>
                <w:p w14:paraId="69C143B4">
                  <w:pPr>
                    <w:spacing w:line="240" w:lineRule="auto"/>
                    <w:jc w:val="left"/>
                    <w:rPr>
                      <w:rFonts w:hint="eastAsia"/>
                      <w:lang w:val="en-US" w:eastAsia="zh-CN"/>
                    </w:rPr>
                  </w:pPr>
                  <w:r>
                    <w:rPr>
                      <w:rFonts w:hint="eastAsia"/>
                      <w:lang w:val="en-US" w:eastAsia="zh-CN"/>
                    </w:rPr>
                    <w:t>名称</w:t>
                  </w:r>
                </w:p>
              </w:tc>
              <w:tc>
                <w:tcPr>
                  <w:tcW w:w="3688" w:type="dxa"/>
                  <w:noWrap w:val="0"/>
                  <w:vAlign w:val="top"/>
                </w:tcPr>
                <w:p w14:paraId="5E9C5BE2">
                  <w:pPr>
                    <w:spacing w:line="240" w:lineRule="auto"/>
                    <w:jc w:val="left"/>
                    <w:rPr>
                      <w:rFonts w:hint="eastAsia"/>
                      <w:lang w:val="en-US" w:eastAsia="zh-CN"/>
                    </w:rPr>
                  </w:pPr>
                  <w:r>
                    <w:rPr>
                      <w:rFonts w:hint="eastAsia"/>
                      <w:lang w:val="en-US" w:eastAsia="zh-CN"/>
                    </w:rPr>
                    <w:t>数量</w:t>
                  </w:r>
                </w:p>
              </w:tc>
            </w:tr>
            <w:tr w14:paraId="30644E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9" w:type="dxa"/>
                  <w:noWrap w:val="0"/>
                  <w:vAlign w:val="top"/>
                </w:tcPr>
                <w:p w14:paraId="1DA76123">
                  <w:pPr>
                    <w:spacing w:line="240" w:lineRule="auto"/>
                    <w:jc w:val="left"/>
                    <w:rPr>
                      <w:rFonts w:hint="eastAsia"/>
                      <w:lang w:val="en-US" w:eastAsia="zh-CN"/>
                    </w:rPr>
                  </w:pPr>
                  <w:r>
                    <w:rPr>
                      <w:rFonts w:hint="eastAsia"/>
                      <w:lang w:val="en-US" w:eastAsia="zh-CN"/>
                    </w:rPr>
                    <w:t>1</w:t>
                  </w:r>
                </w:p>
              </w:tc>
              <w:tc>
                <w:tcPr>
                  <w:tcW w:w="4087" w:type="dxa"/>
                  <w:noWrap w:val="0"/>
                  <w:vAlign w:val="top"/>
                </w:tcPr>
                <w:p w14:paraId="6FE3994F">
                  <w:pPr>
                    <w:spacing w:line="240" w:lineRule="auto"/>
                    <w:jc w:val="left"/>
                    <w:rPr>
                      <w:rFonts w:hint="eastAsia"/>
                      <w:lang w:val="en-US" w:eastAsia="zh-CN"/>
                    </w:rPr>
                  </w:pPr>
                  <w:r>
                    <w:rPr>
                      <w:rFonts w:hint="eastAsia"/>
                      <w:lang w:val="en-US" w:eastAsia="zh-CN"/>
                    </w:rPr>
                    <w:t>彩色超声诊断设备主机</w:t>
                  </w:r>
                </w:p>
              </w:tc>
              <w:tc>
                <w:tcPr>
                  <w:tcW w:w="3688" w:type="dxa"/>
                  <w:noWrap w:val="0"/>
                  <w:vAlign w:val="top"/>
                </w:tcPr>
                <w:p w14:paraId="4C5B9351">
                  <w:pPr>
                    <w:spacing w:line="240" w:lineRule="auto"/>
                    <w:jc w:val="left"/>
                    <w:rPr>
                      <w:rFonts w:hint="eastAsia"/>
                      <w:lang w:val="en-US" w:eastAsia="zh-CN"/>
                    </w:rPr>
                  </w:pPr>
                  <w:r>
                    <w:rPr>
                      <w:rFonts w:hint="eastAsia"/>
                      <w:lang w:val="en-US" w:eastAsia="zh-CN"/>
                    </w:rPr>
                    <w:t>1套</w:t>
                  </w:r>
                </w:p>
              </w:tc>
            </w:tr>
            <w:tr w14:paraId="3349E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9" w:type="dxa"/>
                  <w:noWrap w:val="0"/>
                  <w:vAlign w:val="top"/>
                </w:tcPr>
                <w:p w14:paraId="79820117">
                  <w:pPr>
                    <w:spacing w:line="240" w:lineRule="auto"/>
                    <w:jc w:val="left"/>
                    <w:rPr>
                      <w:rFonts w:hint="eastAsia"/>
                      <w:lang w:val="en-US" w:eastAsia="zh-CN"/>
                    </w:rPr>
                  </w:pPr>
                  <w:r>
                    <w:rPr>
                      <w:rFonts w:hint="eastAsia"/>
                      <w:lang w:val="en-US" w:eastAsia="zh-CN"/>
                    </w:rPr>
                    <w:t>2</w:t>
                  </w:r>
                </w:p>
              </w:tc>
              <w:tc>
                <w:tcPr>
                  <w:tcW w:w="4087" w:type="dxa"/>
                  <w:noWrap w:val="0"/>
                  <w:vAlign w:val="top"/>
                </w:tcPr>
                <w:p w14:paraId="2BE6FC82">
                  <w:pPr>
                    <w:spacing w:line="240" w:lineRule="auto"/>
                    <w:jc w:val="left"/>
                    <w:rPr>
                      <w:rFonts w:hint="eastAsia"/>
                      <w:lang w:val="en-US" w:eastAsia="zh-CN"/>
                    </w:rPr>
                  </w:pPr>
                  <w:r>
                    <w:rPr>
                      <w:rFonts w:hint="eastAsia"/>
                      <w:lang w:val="en-US" w:eastAsia="zh-CN"/>
                    </w:rPr>
                    <w:t>23英寸显示器</w:t>
                  </w:r>
                </w:p>
              </w:tc>
              <w:tc>
                <w:tcPr>
                  <w:tcW w:w="3688" w:type="dxa"/>
                  <w:noWrap w:val="0"/>
                  <w:vAlign w:val="top"/>
                </w:tcPr>
                <w:p w14:paraId="1EFC2789">
                  <w:pPr>
                    <w:spacing w:line="240" w:lineRule="auto"/>
                    <w:jc w:val="left"/>
                    <w:rPr>
                      <w:rFonts w:hint="eastAsia"/>
                      <w:lang w:val="en-US" w:eastAsia="zh-CN"/>
                    </w:rPr>
                  </w:pPr>
                  <w:r>
                    <w:rPr>
                      <w:rFonts w:hint="eastAsia"/>
                      <w:lang w:val="en-US" w:eastAsia="zh-CN"/>
                    </w:rPr>
                    <w:t>1台</w:t>
                  </w:r>
                </w:p>
              </w:tc>
            </w:tr>
            <w:tr w14:paraId="4FD01D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9" w:type="dxa"/>
                  <w:noWrap w:val="0"/>
                  <w:vAlign w:val="top"/>
                </w:tcPr>
                <w:p w14:paraId="142440D3">
                  <w:pPr>
                    <w:spacing w:line="240" w:lineRule="auto"/>
                    <w:jc w:val="left"/>
                    <w:rPr>
                      <w:rFonts w:hint="eastAsia"/>
                      <w:lang w:val="en-US" w:eastAsia="zh-CN"/>
                    </w:rPr>
                  </w:pPr>
                  <w:r>
                    <w:rPr>
                      <w:rFonts w:hint="eastAsia"/>
                      <w:lang w:val="en-US" w:eastAsia="zh-CN"/>
                    </w:rPr>
                    <w:t>3</w:t>
                  </w:r>
                </w:p>
              </w:tc>
              <w:tc>
                <w:tcPr>
                  <w:tcW w:w="4087" w:type="dxa"/>
                  <w:noWrap w:val="0"/>
                  <w:vAlign w:val="top"/>
                </w:tcPr>
                <w:p w14:paraId="510DC1D8">
                  <w:pPr>
                    <w:spacing w:line="240" w:lineRule="auto"/>
                    <w:jc w:val="left"/>
                    <w:rPr>
                      <w:rFonts w:hint="eastAsia"/>
                      <w:lang w:val="en-US" w:eastAsia="zh-CN"/>
                    </w:rPr>
                  </w:pPr>
                  <w:r>
                    <w:rPr>
                      <w:rFonts w:hint="eastAsia"/>
                      <w:lang w:val="en-US" w:eastAsia="zh-CN"/>
                    </w:rPr>
                    <w:t>超宽频腹部凸阵探头</w:t>
                  </w:r>
                </w:p>
              </w:tc>
              <w:tc>
                <w:tcPr>
                  <w:tcW w:w="3688" w:type="dxa"/>
                  <w:noWrap w:val="0"/>
                  <w:vAlign w:val="top"/>
                </w:tcPr>
                <w:p w14:paraId="64909F73">
                  <w:pPr>
                    <w:spacing w:line="240" w:lineRule="auto"/>
                    <w:jc w:val="left"/>
                    <w:rPr>
                      <w:rFonts w:hint="eastAsia"/>
                      <w:lang w:val="en-US" w:eastAsia="zh-CN"/>
                    </w:rPr>
                  </w:pPr>
                  <w:r>
                    <w:rPr>
                      <w:rFonts w:hint="eastAsia"/>
                      <w:lang w:val="en-US" w:eastAsia="zh-CN"/>
                    </w:rPr>
                    <w:t>1把</w:t>
                  </w:r>
                </w:p>
              </w:tc>
            </w:tr>
            <w:tr w14:paraId="4AA0F5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9" w:type="dxa"/>
                  <w:noWrap w:val="0"/>
                  <w:vAlign w:val="top"/>
                </w:tcPr>
                <w:p w14:paraId="45D00A28">
                  <w:pPr>
                    <w:spacing w:line="240" w:lineRule="auto"/>
                    <w:jc w:val="left"/>
                    <w:rPr>
                      <w:rFonts w:hint="eastAsia"/>
                      <w:lang w:val="en-US" w:eastAsia="zh-CN"/>
                    </w:rPr>
                  </w:pPr>
                  <w:r>
                    <w:rPr>
                      <w:rFonts w:hint="eastAsia"/>
                      <w:lang w:val="en-US" w:eastAsia="zh-CN"/>
                    </w:rPr>
                    <w:t>4</w:t>
                  </w:r>
                </w:p>
              </w:tc>
              <w:tc>
                <w:tcPr>
                  <w:tcW w:w="4087" w:type="dxa"/>
                  <w:noWrap w:val="0"/>
                  <w:vAlign w:val="top"/>
                </w:tcPr>
                <w:p w14:paraId="76233375">
                  <w:pPr>
                    <w:spacing w:line="240" w:lineRule="auto"/>
                    <w:jc w:val="left"/>
                    <w:rPr>
                      <w:rFonts w:hint="eastAsia"/>
                      <w:lang w:val="en-US" w:eastAsia="zh-CN"/>
                    </w:rPr>
                  </w:pPr>
                  <w:r>
                    <w:rPr>
                      <w:rFonts w:hint="eastAsia"/>
                      <w:lang w:val="en-US" w:eastAsia="zh-CN"/>
                    </w:rPr>
                    <w:t>超宽频线阵探头</w:t>
                  </w:r>
                </w:p>
              </w:tc>
              <w:tc>
                <w:tcPr>
                  <w:tcW w:w="3688" w:type="dxa"/>
                  <w:noWrap w:val="0"/>
                  <w:vAlign w:val="top"/>
                </w:tcPr>
                <w:p w14:paraId="0E59714F">
                  <w:pPr>
                    <w:spacing w:line="240" w:lineRule="auto"/>
                    <w:jc w:val="left"/>
                    <w:rPr>
                      <w:rFonts w:hint="eastAsia"/>
                      <w:lang w:val="en-US" w:eastAsia="zh-CN"/>
                    </w:rPr>
                  </w:pPr>
                  <w:r>
                    <w:rPr>
                      <w:rFonts w:hint="eastAsia"/>
                      <w:lang w:val="en-US" w:eastAsia="zh-CN"/>
                    </w:rPr>
                    <w:t>1把</w:t>
                  </w:r>
                </w:p>
              </w:tc>
            </w:tr>
            <w:tr w14:paraId="27183F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9" w:type="dxa"/>
                  <w:noWrap w:val="0"/>
                  <w:vAlign w:val="top"/>
                </w:tcPr>
                <w:p w14:paraId="796C6A3D">
                  <w:pPr>
                    <w:spacing w:line="240" w:lineRule="auto"/>
                    <w:jc w:val="left"/>
                    <w:rPr>
                      <w:rFonts w:hint="eastAsia"/>
                      <w:lang w:val="en-US" w:eastAsia="zh-CN"/>
                    </w:rPr>
                  </w:pPr>
                  <w:r>
                    <w:rPr>
                      <w:rFonts w:hint="eastAsia"/>
                      <w:lang w:val="en-US" w:eastAsia="zh-CN"/>
                    </w:rPr>
                    <w:t>5</w:t>
                  </w:r>
                </w:p>
              </w:tc>
              <w:tc>
                <w:tcPr>
                  <w:tcW w:w="4087" w:type="dxa"/>
                  <w:noWrap w:val="0"/>
                  <w:vAlign w:val="top"/>
                </w:tcPr>
                <w:p w14:paraId="66D24B09">
                  <w:pPr>
                    <w:spacing w:line="240" w:lineRule="auto"/>
                    <w:jc w:val="left"/>
                    <w:rPr>
                      <w:rFonts w:hint="eastAsia"/>
                      <w:lang w:val="en-US" w:eastAsia="zh-CN"/>
                    </w:rPr>
                  </w:pPr>
                  <w:r>
                    <w:rPr>
                      <w:rFonts w:hint="eastAsia"/>
                      <w:lang w:val="en-US" w:eastAsia="zh-CN"/>
                    </w:rPr>
                    <w:t>超宽频线阵探头</w:t>
                  </w:r>
                </w:p>
              </w:tc>
              <w:tc>
                <w:tcPr>
                  <w:tcW w:w="3688" w:type="dxa"/>
                  <w:noWrap w:val="0"/>
                  <w:vAlign w:val="top"/>
                </w:tcPr>
                <w:p w14:paraId="0499C79A">
                  <w:pPr>
                    <w:spacing w:line="240" w:lineRule="auto"/>
                    <w:jc w:val="left"/>
                    <w:rPr>
                      <w:rFonts w:hint="eastAsia"/>
                      <w:lang w:val="en-US" w:eastAsia="zh-CN"/>
                    </w:rPr>
                  </w:pPr>
                  <w:r>
                    <w:rPr>
                      <w:rFonts w:hint="eastAsia"/>
                      <w:lang w:val="en-US" w:eastAsia="zh-CN"/>
                    </w:rPr>
                    <w:t>1把</w:t>
                  </w:r>
                </w:p>
              </w:tc>
            </w:tr>
            <w:tr w14:paraId="5D9FC6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9" w:type="dxa"/>
                  <w:noWrap w:val="0"/>
                  <w:vAlign w:val="top"/>
                </w:tcPr>
                <w:p w14:paraId="12BA259E">
                  <w:pPr>
                    <w:spacing w:line="240" w:lineRule="auto"/>
                    <w:jc w:val="left"/>
                    <w:rPr>
                      <w:rFonts w:hint="eastAsia"/>
                      <w:lang w:val="en-US" w:eastAsia="zh-CN"/>
                    </w:rPr>
                  </w:pPr>
                  <w:r>
                    <w:rPr>
                      <w:rFonts w:hint="eastAsia"/>
                      <w:lang w:val="en-US" w:eastAsia="zh-CN"/>
                    </w:rPr>
                    <w:t>6</w:t>
                  </w:r>
                </w:p>
              </w:tc>
              <w:tc>
                <w:tcPr>
                  <w:tcW w:w="4087" w:type="dxa"/>
                  <w:noWrap w:val="0"/>
                  <w:vAlign w:val="top"/>
                </w:tcPr>
                <w:p w14:paraId="5C3F0665">
                  <w:pPr>
                    <w:spacing w:line="240" w:lineRule="auto"/>
                    <w:jc w:val="left"/>
                    <w:rPr>
                      <w:rFonts w:hint="eastAsia"/>
                      <w:lang w:val="en-US" w:eastAsia="zh-CN"/>
                    </w:rPr>
                  </w:pPr>
                  <w:r>
                    <w:rPr>
                      <w:rFonts w:hint="eastAsia"/>
                      <w:lang w:val="en-US" w:eastAsia="zh-CN"/>
                    </w:rPr>
                    <w:t>超宽频相控阵探头</w:t>
                  </w:r>
                </w:p>
              </w:tc>
              <w:tc>
                <w:tcPr>
                  <w:tcW w:w="3688" w:type="dxa"/>
                  <w:noWrap w:val="0"/>
                  <w:vAlign w:val="top"/>
                </w:tcPr>
                <w:p w14:paraId="40372CEC">
                  <w:pPr>
                    <w:spacing w:line="240" w:lineRule="auto"/>
                    <w:jc w:val="left"/>
                    <w:rPr>
                      <w:rFonts w:hint="eastAsia"/>
                      <w:lang w:val="en-US" w:eastAsia="zh-CN"/>
                    </w:rPr>
                  </w:pPr>
                  <w:r>
                    <w:rPr>
                      <w:rFonts w:hint="eastAsia"/>
                      <w:lang w:val="en-US" w:eastAsia="zh-CN"/>
                    </w:rPr>
                    <w:t>1把</w:t>
                  </w:r>
                </w:p>
              </w:tc>
            </w:tr>
            <w:tr w14:paraId="75C3E6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9" w:type="dxa"/>
                  <w:noWrap w:val="0"/>
                  <w:vAlign w:val="top"/>
                </w:tcPr>
                <w:p w14:paraId="2C72A0EC">
                  <w:pPr>
                    <w:spacing w:line="240" w:lineRule="auto"/>
                    <w:jc w:val="left"/>
                    <w:rPr>
                      <w:rFonts w:hint="eastAsia"/>
                      <w:lang w:val="en-US" w:eastAsia="zh-CN"/>
                    </w:rPr>
                  </w:pPr>
                  <w:r>
                    <w:rPr>
                      <w:rFonts w:hint="eastAsia"/>
                      <w:lang w:val="en-US" w:eastAsia="zh-CN"/>
                    </w:rPr>
                    <w:t>7</w:t>
                  </w:r>
                </w:p>
              </w:tc>
              <w:tc>
                <w:tcPr>
                  <w:tcW w:w="4087" w:type="dxa"/>
                  <w:noWrap w:val="0"/>
                  <w:vAlign w:val="top"/>
                </w:tcPr>
                <w:p w14:paraId="060346ED">
                  <w:pPr>
                    <w:spacing w:line="240" w:lineRule="auto"/>
                    <w:jc w:val="left"/>
                    <w:rPr>
                      <w:rFonts w:hint="eastAsia"/>
                      <w:lang w:val="en-US" w:eastAsia="zh-CN"/>
                    </w:rPr>
                  </w:pPr>
                  <w:r>
                    <w:rPr>
                      <w:rFonts w:hint="eastAsia"/>
                      <w:lang w:val="en-US" w:eastAsia="zh-CN"/>
                    </w:rPr>
                    <w:t>超宽频经阴微凸阵探头</w:t>
                  </w:r>
                </w:p>
              </w:tc>
              <w:tc>
                <w:tcPr>
                  <w:tcW w:w="3688" w:type="dxa"/>
                  <w:noWrap w:val="0"/>
                  <w:vAlign w:val="top"/>
                </w:tcPr>
                <w:p w14:paraId="4B61996F">
                  <w:pPr>
                    <w:spacing w:line="240" w:lineRule="auto"/>
                    <w:jc w:val="left"/>
                    <w:rPr>
                      <w:rFonts w:hint="eastAsia"/>
                      <w:lang w:val="en-US" w:eastAsia="zh-CN"/>
                    </w:rPr>
                  </w:pPr>
                  <w:r>
                    <w:rPr>
                      <w:rFonts w:hint="eastAsia"/>
                      <w:lang w:val="en-US" w:eastAsia="zh-CN"/>
                    </w:rPr>
                    <w:t>1把</w:t>
                  </w:r>
                </w:p>
              </w:tc>
            </w:tr>
            <w:tr w14:paraId="68F691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9" w:type="dxa"/>
                  <w:noWrap w:val="0"/>
                  <w:vAlign w:val="top"/>
                </w:tcPr>
                <w:p w14:paraId="22A34512">
                  <w:pPr>
                    <w:spacing w:line="240" w:lineRule="auto"/>
                    <w:jc w:val="left"/>
                    <w:rPr>
                      <w:rFonts w:hint="eastAsia"/>
                      <w:lang w:val="en-US" w:eastAsia="zh-CN"/>
                    </w:rPr>
                  </w:pPr>
                  <w:r>
                    <w:rPr>
                      <w:rFonts w:hint="eastAsia"/>
                      <w:lang w:val="en-US" w:eastAsia="zh-CN"/>
                    </w:rPr>
                    <w:t>8</w:t>
                  </w:r>
                </w:p>
              </w:tc>
              <w:tc>
                <w:tcPr>
                  <w:tcW w:w="4087" w:type="dxa"/>
                  <w:noWrap w:val="0"/>
                  <w:vAlign w:val="top"/>
                </w:tcPr>
                <w:p w14:paraId="2B5FA4DD">
                  <w:pPr>
                    <w:spacing w:line="240" w:lineRule="auto"/>
                    <w:jc w:val="left"/>
                    <w:rPr>
                      <w:rFonts w:hint="eastAsia"/>
                      <w:lang w:val="en-US" w:eastAsia="zh-CN"/>
                    </w:rPr>
                  </w:pPr>
                  <w:r>
                    <w:rPr>
                      <w:rFonts w:hint="eastAsia"/>
                      <w:lang w:val="en-US" w:eastAsia="zh-CN"/>
                    </w:rPr>
                    <w:t>造影谐波成像软件</w:t>
                  </w:r>
                </w:p>
              </w:tc>
              <w:tc>
                <w:tcPr>
                  <w:tcW w:w="3688" w:type="dxa"/>
                  <w:noWrap w:val="0"/>
                  <w:vAlign w:val="top"/>
                </w:tcPr>
                <w:p w14:paraId="53E993B7">
                  <w:pPr>
                    <w:spacing w:line="240" w:lineRule="auto"/>
                    <w:jc w:val="left"/>
                    <w:rPr>
                      <w:rFonts w:hint="default"/>
                      <w:lang w:val="en-US" w:eastAsia="zh-CN"/>
                    </w:rPr>
                  </w:pPr>
                  <w:r>
                    <w:rPr>
                      <w:rFonts w:hint="eastAsia"/>
                      <w:lang w:val="en-US" w:eastAsia="zh-CN"/>
                    </w:rPr>
                    <w:t>1套</w:t>
                  </w:r>
                </w:p>
              </w:tc>
            </w:tr>
            <w:tr w14:paraId="54521D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9" w:type="dxa"/>
                  <w:noWrap w:val="0"/>
                  <w:vAlign w:val="top"/>
                </w:tcPr>
                <w:p w14:paraId="12C33AD7">
                  <w:pPr>
                    <w:spacing w:line="240" w:lineRule="auto"/>
                    <w:jc w:val="left"/>
                    <w:rPr>
                      <w:rFonts w:hint="eastAsia"/>
                      <w:lang w:val="en-US" w:eastAsia="zh-CN"/>
                    </w:rPr>
                  </w:pPr>
                  <w:r>
                    <w:rPr>
                      <w:rFonts w:hint="eastAsia"/>
                      <w:lang w:val="en-US" w:eastAsia="zh-CN"/>
                    </w:rPr>
                    <w:t>9</w:t>
                  </w:r>
                </w:p>
              </w:tc>
              <w:tc>
                <w:tcPr>
                  <w:tcW w:w="4087" w:type="dxa"/>
                  <w:noWrap w:val="0"/>
                  <w:vAlign w:val="top"/>
                </w:tcPr>
                <w:p w14:paraId="24F580E4">
                  <w:pPr>
                    <w:spacing w:line="240" w:lineRule="auto"/>
                    <w:jc w:val="left"/>
                    <w:rPr>
                      <w:rFonts w:hint="eastAsia"/>
                      <w:lang w:val="en-US" w:eastAsia="zh-CN"/>
                    </w:rPr>
                  </w:pPr>
                  <w:r>
                    <w:rPr>
                      <w:rFonts w:hint="eastAsia"/>
                      <w:lang w:val="en-US" w:eastAsia="zh-CN"/>
                    </w:rPr>
                    <w:t>剪切波测量软件</w:t>
                  </w:r>
                </w:p>
              </w:tc>
              <w:tc>
                <w:tcPr>
                  <w:tcW w:w="3688" w:type="dxa"/>
                  <w:noWrap w:val="0"/>
                  <w:vAlign w:val="top"/>
                </w:tcPr>
                <w:p w14:paraId="42141077">
                  <w:pPr>
                    <w:spacing w:line="240" w:lineRule="auto"/>
                    <w:jc w:val="left"/>
                    <w:rPr>
                      <w:rFonts w:hint="eastAsia"/>
                      <w:lang w:val="en-US" w:eastAsia="zh-CN"/>
                    </w:rPr>
                  </w:pPr>
                  <w:r>
                    <w:rPr>
                      <w:rFonts w:hint="eastAsia"/>
                      <w:lang w:val="en-US" w:eastAsia="zh-CN"/>
                    </w:rPr>
                    <w:t>1套</w:t>
                  </w:r>
                </w:p>
              </w:tc>
            </w:tr>
            <w:tr w14:paraId="1B5A53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9" w:type="dxa"/>
                  <w:noWrap w:val="0"/>
                  <w:vAlign w:val="top"/>
                </w:tcPr>
                <w:p w14:paraId="7056ABDA">
                  <w:pPr>
                    <w:spacing w:line="240" w:lineRule="auto"/>
                    <w:jc w:val="left"/>
                    <w:rPr>
                      <w:rFonts w:hint="eastAsia"/>
                      <w:lang w:val="en-US" w:eastAsia="zh-CN"/>
                    </w:rPr>
                  </w:pPr>
                  <w:r>
                    <w:rPr>
                      <w:rFonts w:hint="eastAsia"/>
                      <w:lang w:val="en-US" w:eastAsia="zh-CN"/>
                    </w:rPr>
                    <w:t>10</w:t>
                  </w:r>
                </w:p>
              </w:tc>
              <w:tc>
                <w:tcPr>
                  <w:tcW w:w="4087" w:type="dxa"/>
                  <w:noWrap w:val="0"/>
                  <w:vAlign w:val="top"/>
                </w:tcPr>
                <w:p w14:paraId="560A320B">
                  <w:pPr>
                    <w:spacing w:line="240" w:lineRule="auto"/>
                    <w:jc w:val="left"/>
                    <w:rPr>
                      <w:rFonts w:hint="eastAsia"/>
                      <w:lang w:val="en-US" w:eastAsia="zh-CN"/>
                    </w:rPr>
                  </w:pPr>
                  <w:r>
                    <w:rPr>
                      <w:rFonts w:hint="eastAsia"/>
                      <w:lang w:val="en-US" w:eastAsia="zh-CN"/>
                    </w:rPr>
                    <w:t>实时组织弹性成像软件</w:t>
                  </w:r>
                </w:p>
              </w:tc>
              <w:tc>
                <w:tcPr>
                  <w:tcW w:w="3688" w:type="dxa"/>
                  <w:noWrap w:val="0"/>
                  <w:vAlign w:val="top"/>
                </w:tcPr>
                <w:p w14:paraId="341D881A">
                  <w:pPr>
                    <w:spacing w:line="240" w:lineRule="auto"/>
                    <w:jc w:val="left"/>
                    <w:rPr>
                      <w:rFonts w:hint="eastAsia"/>
                      <w:lang w:val="en-US" w:eastAsia="zh-CN"/>
                    </w:rPr>
                  </w:pPr>
                  <w:r>
                    <w:rPr>
                      <w:rFonts w:hint="eastAsia"/>
                      <w:lang w:val="en-US" w:eastAsia="zh-CN"/>
                    </w:rPr>
                    <w:t>1套</w:t>
                  </w:r>
                </w:p>
              </w:tc>
            </w:tr>
            <w:tr w14:paraId="54323F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9" w:type="dxa"/>
                  <w:noWrap w:val="0"/>
                  <w:vAlign w:val="top"/>
                </w:tcPr>
                <w:p w14:paraId="5E65CDF6">
                  <w:pPr>
                    <w:spacing w:line="240" w:lineRule="auto"/>
                    <w:jc w:val="left"/>
                    <w:rPr>
                      <w:rFonts w:hint="default"/>
                      <w:lang w:val="en-US" w:eastAsia="zh-CN"/>
                    </w:rPr>
                  </w:pPr>
                  <w:r>
                    <w:rPr>
                      <w:rFonts w:hint="eastAsia"/>
                      <w:lang w:val="en-US" w:eastAsia="zh-CN"/>
                    </w:rPr>
                    <w:t>11</w:t>
                  </w:r>
                </w:p>
              </w:tc>
              <w:tc>
                <w:tcPr>
                  <w:tcW w:w="4087" w:type="dxa"/>
                  <w:noWrap w:val="0"/>
                  <w:vAlign w:val="top"/>
                </w:tcPr>
                <w:p w14:paraId="75B4B4C9">
                  <w:pPr>
                    <w:spacing w:line="240" w:lineRule="auto"/>
                    <w:jc w:val="left"/>
                    <w:rPr>
                      <w:rFonts w:hint="eastAsia"/>
                      <w:lang w:val="en-US" w:eastAsia="zh-CN"/>
                    </w:rPr>
                  </w:pPr>
                  <w:r>
                    <w:rPr>
                      <w:rFonts w:hint="eastAsia"/>
                      <w:lang w:val="en-US" w:eastAsia="zh-CN"/>
                    </w:rPr>
                    <w:t>甲状腺、乳腺超声AI辅助系统</w:t>
                  </w:r>
                </w:p>
              </w:tc>
              <w:tc>
                <w:tcPr>
                  <w:tcW w:w="3688" w:type="dxa"/>
                  <w:noWrap w:val="0"/>
                  <w:vAlign w:val="top"/>
                </w:tcPr>
                <w:p w14:paraId="5D0A0CB1">
                  <w:pPr>
                    <w:spacing w:line="240" w:lineRule="auto"/>
                    <w:jc w:val="left"/>
                    <w:rPr>
                      <w:rFonts w:hint="eastAsia"/>
                      <w:lang w:val="en-US" w:eastAsia="zh-CN"/>
                    </w:rPr>
                  </w:pPr>
                  <w:r>
                    <w:rPr>
                      <w:rFonts w:hint="eastAsia"/>
                      <w:lang w:val="en-US" w:eastAsia="zh-CN"/>
                    </w:rPr>
                    <w:t>1套</w:t>
                  </w:r>
                </w:p>
              </w:tc>
            </w:tr>
            <w:tr w14:paraId="2461AC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9" w:type="dxa"/>
                  <w:noWrap w:val="0"/>
                  <w:vAlign w:val="top"/>
                </w:tcPr>
                <w:p w14:paraId="1016E32C">
                  <w:pPr>
                    <w:spacing w:line="240" w:lineRule="auto"/>
                    <w:jc w:val="left"/>
                    <w:rPr>
                      <w:rFonts w:hint="default"/>
                      <w:lang w:val="en-US" w:eastAsia="zh-CN"/>
                    </w:rPr>
                  </w:pPr>
                  <w:r>
                    <w:rPr>
                      <w:rFonts w:hint="eastAsia"/>
                      <w:lang w:val="en-US" w:eastAsia="zh-CN"/>
                    </w:rPr>
                    <w:t>12</w:t>
                  </w:r>
                </w:p>
              </w:tc>
              <w:tc>
                <w:tcPr>
                  <w:tcW w:w="4087" w:type="dxa"/>
                  <w:noWrap w:val="0"/>
                  <w:vAlign w:val="top"/>
                </w:tcPr>
                <w:p w14:paraId="18A68A95">
                  <w:pPr>
                    <w:spacing w:line="240" w:lineRule="auto"/>
                    <w:jc w:val="left"/>
                    <w:rPr>
                      <w:rFonts w:hint="eastAsia"/>
                      <w:lang w:val="en-US" w:eastAsia="zh-CN"/>
                    </w:rPr>
                  </w:pPr>
                  <w:r>
                    <w:rPr>
                      <w:rFonts w:hint="eastAsia"/>
                      <w:lang w:val="en-US" w:eastAsia="zh-CN"/>
                    </w:rPr>
                    <w:t>工作站</w:t>
                  </w:r>
                </w:p>
              </w:tc>
              <w:tc>
                <w:tcPr>
                  <w:tcW w:w="3688" w:type="dxa"/>
                  <w:noWrap w:val="0"/>
                  <w:vAlign w:val="top"/>
                </w:tcPr>
                <w:p w14:paraId="39D5EABD">
                  <w:pPr>
                    <w:spacing w:line="240" w:lineRule="auto"/>
                    <w:jc w:val="left"/>
                    <w:rPr>
                      <w:rFonts w:hint="eastAsia"/>
                      <w:lang w:val="en-US" w:eastAsia="zh-CN"/>
                    </w:rPr>
                  </w:pPr>
                  <w:r>
                    <w:rPr>
                      <w:rFonts w:hint="eastAsia"/>
                      <w:lang w:val="en-US" w:eastAsia="zh-CN"/>
                    </w:rPr>
                    <w:t>1套</w:t>
                  </w:r>
                </w:p>
              </w:tc>
            </w:tr>
            <w:tr w14:paraId="54A9DF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9" w:type="dxa"/>
                  <w:noWrap w:val="0"/>
                  <w:vAlign w:val="top"/>
                </w:tcPr>
                <w:p w14:paraId="6C4B8D27">
                  <w:pPr>
                    <w:spacing w:line="240" w:lineRule="auto"/>
                    <w:jc w:val="left"/>
                    <w:rPr>
                      <w:rFonts w:hint="default"/>
                      <w:lang w:val="en-US" w:eastAsia="zh-CN"/>
                    </w:rPr>
                  </w:pPr>
                  <w:r>
                    <w:rPr>
                      <w:rFonts w:hint="eastAsia"/>
                      <w:lang w:val="en-US" w:eastAsia="zh-CN"/>
                    </w:rPr>
                    <w:t>13</w:t>
                  </w:r>
                </w:p>
              </w:tc>
              <w:tc>
                <w:tcPr>
                  <w:tcW w:w="4087" w:type="dxa"/>
                  <w:noWrap w:val="0"/>
                  <w:vAlign w:val="top"/>
                </w:tcPr>
                <w:p w14:paraId="4FA0D8AC">
                  <w:pPr>
                    <w:spacing w:line="240" w:lineRule="auto"/>
                    <w:jc w:val="left"/>
                    <w:rPr>
                      <w:rFonts w:hint="eastAsia"/>
                      <w:lang w:val="en-US" w:eastAsia="zh-CN"/>
                    </w:rPr>
                  </w:pPr>
                  <w:r>
                    <w:rPr>
                      <w:rFonts w:hint="eastAsia"/>
                      <w:lang w:val="en-US" w:eastAsia="zh-CN"/>
                    </w:rPr>
                    <w:t>电脑</w:t>
                  </w:r>
                </w:p>
              </w:tc>
              <w:tc>
                <w:tcPr>
                  <w:tcW w:w="3688" w:type="dxa"/>
                  <w:noWrap w:val="0"/>
                  <w:vAlign w:val="top"/>
                </w:tcPr>
                <w:p w14:paraId="79DDDB21">
                  <w:pPr>
                    <w:spacing w:line="240" w:lineRule="auto"/>
                    <w:jc w:val="left"/>
                    <w:rPr>
                      <w:rFonts w:hint="eastAsia"/>
                      <w:lang w:val="en-US" w:eastAsia="zh-CN"/>
                    </w:rPr>
                  </w:pPr>
                  <w:r>
                    <w:rPr>
                      <w:rFonts w:hint="eastAsia"/>
                      <w:lang w:val="en-US" w:eastAsia="zh-CN"/>
                    </w:rPr>
                    <w:t>1台</w:t>
                  </w:r>
                </w:p>
              </w:tc>
            </w:tr>
            <w:tr w14:paraId="06E6AD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9" w:type="dxa"/>
                  <w:noWrap w:val="0"/>
                  <w:vAlign w:val="top"/>
                </w:tcPr>
                <w:p w14:paraId="2C334D05">
                  <w:pPr>
                    <w:spacing w:line="240" w:lineRule="auto"/>
                    <w:jc w:val="left"/>
                    <w:rPr>
                      <w:rFonts w:hint="default"/>
                      <w:lang w:val="en-US" w:eastAsia="zh-CN"/>
                    </w:rPr>
                  </w:pPr>
                  <w:r>
                    <w:rPr>
                      <w:rFonts w:hint="eastAsia"/>
                      <w:lang w:val="en-US" w:eastAsia="zh-CN"/>
                    </w:rPr>
                    <w:t>14</w:t>
                  </w:r>
                </w:p>
              </w:tc>
              <w:tc>
                <w:tcPr>
                  <w:tcW w:w="4087" w:type="dxa"/>
                  <w:noWrap w:val="0"/>
                  <w:vAlign w:val="top"/>
                </w:tcPr>
                <w:p w14:paraId="28FAFE19">
                  <w:pPr>
                    <w:spacing w:line="240" w:lineRule="auto"/>
                    <w:jc w:val="left"/>
                    <w:rPr>
                      <w:rFonts w:hint="eastAsia"/>
                      <w:lang w:val="en-US" w:eastAsia="zh-CN"/>
                    </w:rPr>
                  </w:pPr>
                  <w:r>
                    <w:rPr>
                      <w:rFonts w:hint="eastAsia"/>
                      <w:lang w:val="en-US" w:eastAsia="zh-CN"/>
                    </w:rPr>
                    <w:t>打印机</w:t>
                  </w:r>
                </w:p>
              </w:tc>
              <w:tc>
                <w:tcPr>
                  <w:tcW w:w="3688" w:type="dxa"/>
                  <w:noWrap w:val="0"/>
                  <w:vAlign w:val="top"/>
                </w:tcPr>
                <w:p w14:paraId="75934582">
                  <w:pPr>
                    <w:spacing w:line="240" w:lineRule="auto"/>
                    <w:jc w:val="left"/>
                    <w:rPr>
                      <w:rFonts w:hint="eastAsia"/>
                      <w:lang w:val="en-US" w:eastAsia="zh-CN"/>
                    </w:rPr>
                  </w:pPr>
                  <w:r>
                    <w:rPr>
                      <w:rFonts w:hint="eastAsia"/>
                      <w:lang w:val="en-US" w:eastAsia="zh-CN"/>
                    </w:rPr>
                    <w:t>1台</w:t>
                  </w:r>
                </w:p>
              </w:tc>
            </w:tr>
            <w:tr w14:paraId="70A61B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9" w:type="dxa"/>
                  <w:noWrap w:val="0"/>
                  <w:vAlign w:val="top"/>
                </w:tcPr>
                <w:p w14:paraId="1B0F5C02">
                  <w:pPr>
                    <w:spacing w:line="240" w:lineRule="auto"/>
                    <w:jc w:val="left"/>
                    <w:rPr>
                      <w:rFonts w:hint="default"/>
                      <w:lang w:val="en-US" w:eastAsia="zh-CN"/>
                    </w:rPr>
                  </w:pPr>
                  <w:r>
                    <w:rPr>
                      <w:rFonts w:hint="eastAsia"/>
                      <w:lang w:val="en-US" w:eastAsia="zh-CN"/>
                    </w:rPr>
                    <w:t>15</w:t>
                  </w:r>
                </w:p>
              </w:tc>
              <w:tc>
                <w:tcPr>
                  <w:tcW w:w="4087" w:type="dxa"/>
                  <w:noWrap w:val="0"/>
                  <w:vAlign w:val="top"/>
                </w:tcPr>
                <w:p w14:paraId="4F2C0CF5">
                  <w:pPr>
                    <w:spacing w:line="240" w:lineRule="auto"/>
                    <w:jc w:val="left"/>
                    <w:rPr>
                      <w:rFonts w:hint="eastAsia"/>
                      <w:lang w:val="en-US" w:eastAsia="zh-CN"/>
                    </w:rPr>
                  </w:pPr>
                  <w:r>
                    <w:rPr>
                      <w:rFonts w:hint="eastAsia"/>
                      <w:lang w:val="en-US" w:eastAsia="zh-CN"/>
                    </w:rPr>
                    <w:t>办公桌</w:t>
                  </w:r>
                </w:p>
              </w:tc>
              <w:tc>
                <w:tcPr>
                  <w:tcW w:w="3688" w:type="dxa"/>
                  <w:noWrap w:val="0"/>
                  <w:vAlign w:val="top"/>
                </w:tcPr>
                <w:p w14:paraId="087B4C15">
                  <w:pPr>
                    <w:spacing w:line="240" w:lineRule="auto"/>
                    <w:jc w:val="left"/>
                    <w:rPr>
                      <w:rFonts w:hint="eastAsia"/>
                      <w:lang w:val="en-US" w:eastAsia="zh-CN"/>
                    </w:rPr>
                  </w:pPr>
                  <w:r>
                    <w:rPr>
                      <w:rFonts w:hint="eastAsia"/>
                      <w:lang w:val="en-US" w:eastAsia="zh-CN"/>
                    </w:rPr>
                    <w:t>1张</w:t>
                  </w:r>
                </w:p>
              </w:tc>
            </w:tr>
            <w:tr w14:paraId="4E809D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9" w:type="dxa"/>
                  <w:noWrap w:val="0"/>
                  <w:vAlign w:val="top"/>
                </w:tcPr>
                <w:p w14:paraId="3A54839E">
                  <w:pPr>
                    <w:spacing w:line="240" w:lineRule="auto"/>
                    <w:jc w:val="left"/>
                    <w:rPr>
                      <w:rFonts w:hint="default"/>
                      <w:lang w:val="en-US" w:eastAsia="zh-CN"/>
                    </w:rPr>
                  </w:pPr>
                  <w:r>
                    <w:rPr>
                      <w:rFonts w:hint="eastAsia"/>
                      <w:lang w:val="en-US" w:eastAsia="zh-CN"/>
                    </w:rPr>
                    <w:t>16</w:t>
                  </w:r>
                </w:p>
              </w:tc>
              <w:tc>
                <w:tcPr>
                  <w:tcW w:w="4087" w:type="dxa"/>
                  <w:noWrap w:val="0"/>
                  <w:vAlign w:val="top"/>
                </w:tcPr>
                <w:p w14:paraId="24E998EC">
                  <w:pPr>
                    <w:spacing w:line="240" w:lineRule="auto"/>
                    <w:jc w:val="left"/>
                    <w:rPr>
                      <w:rFonts w:hint="eastAsia"/>
                      <w:lang w:val="en-US" w:eastAsia="zh-CN"/>
                    </w:rPr>
                  </w:pPr>
                  <w:r>
                    <w:rPr>
                      <w:rFonts w:hint="eastAsia"/>
                      <w:lang w:val="en-US" w:eastAsia="zh-CN"/>
                    </w:rPr>
                    <w:t>检查床</w:t>
                  </w:r>
                </w:p>
              </w:tc>
              <w:tc>
                <w:tcPr>
                  <w:tcW w:w="3688" w:type="dxa"/>
                  <w:noWrap w:val="0"/>
                  <w:vAlign w:val="top"/>
                </w:tcPr>
                <w:p w14:paraId="7E7E7E90">
                  <w:pPr>
                    <w:spacing w:line="240" w:lineRule="auto"/>
                    <w:jc w:val="left"/>
                    <w:rPr>
                      <w:rFonts w:hint="eastAsia"/>
                      <w:lang w:val="en-US" w:eastAsia="zh-CN"/>
                    </w:rPr>
                  </w:pPr>
                  <w:r>
                    <w:rPr>
                      <w:rFonts w:hint="eastAsia"/>
                      <w:lang w:val="en-US" w:eastAsia="zh-CN"/>
                    </w:rPr>
                    <w:t>1张</w:t>
                  </w:r>
                </w:p>
              </w:tc>
            </w:tr>
            <w:tr w14:paraId="6A3A43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9" w:type="dxa"/>
                  <w:noWrap w:val="0"/>
                  <w:vAlign w:val="top"/>
                </w:tcPr>
                <w:p w14:paraId="4189569A">
                  <w:pPr>
                    <w:spacing w:line="240" w:lineRule="auto"/>
                    <w:jc w:val="left"/>
                    <w:rPr>
                      <w:rFonts w:hint="default"/>
                      <w:lang w:val="en-US" w:eastAsia="zh-CN"/>
                    </w:rPr>
                  </w:pPr>
                  <w:r>
                    <w:rPr>
                      <w:rFonts w:hint="eastAsia"/>
                      <w:lang w:val="en-US" w:eastAsia="zh-CN"/>
                    </w:rPr>
                    <w:t>17</w:t>
                  </w:r>
                </w:p>
              </w:tc>
              <w:tc>
                <w:tcPr>
                  <w:tcW w:w="4087" w:type="dxa"/>
                  <w:noWrap w:val="0"/>
                  <w:vAlign w:val="top"/>
                </w:tcPr>
                <w:p w14:paraId="35118DCB">
                  <w:pPr>
                    <w:spacing w:line="240" w:lineRule="auto"/>
                    <w:jc w:val="left"/>
                    <w:rPr>
                      <w:rFonts w:hint="eastAsia"/>
                      <w:lang w:val="en-US" w:eastAsia="zh-CN"/>
                    </w:rPr>
                  </w:pPr>
                  <w:r>
                    <w:rPr>
                      <w:rFonts w:hint="eastAsia"/>
                      <w:lang w:val="en-US" w:eastAsia="zh-CN"/>
                    </w:rPr>
                    <w:t>座椅</w:t>
                  </w:r>
                </w:p>
              </w:tc>
              <w:tc>
                <w:tcPr>
                  <w:tcW w:w="3688" w:type="dxa"/>
                  <w:noWrap w:val="0"/>
                  <w:vAlign w:val="top"/>
                </w:tcPr>
                <w:p w14:paraId="4B8ADC42">
                  <w:pPr>
                    <w:spacing w:line="240" w:lineRule="auto"/>
                    <w:jc w:val="left"/>
                    <w:rPr>
                      <w:rFonts w:hint="eastAsia"/>
                      <w:lang w:val="en-US" w:eastAsia="zh-CN"/>
                    </w:rPr>
                  </w:pPr>
                  <w:r>
                    <w:rPr>
                      <w:rFonts w:hint="eastAsia"/>
                      <w:lang w:val="en-US" w:eastAsia="zh-CN"/>
                    </w:rPr>
                    <w:t>1套</w:t>
                  </w:r>
                </w:p>
              </w:tc>
            </w:tr>
          </w:tbl>
          <w:p w14:paraId="154B6AC8">
            <w:pPr>
              <w:spacing w:line="360" w:lineRule="auto"/>
              <w:rPr>
                <w:rFonts w:hint="eastAsia"/>
                <w:sz w:val="24"/>
                <w:szCs w:val="24"/>
              </w:rPr>
            </w:pPr>
          </w:p>
          <w:p w14:paraId="60A0FCBC">
            <w:pPr>
              <w:pStyle w:val="11"/>
              <w:widowControl/>
              <w:numPr>
                <w:ilvl w:val="0"/>
                <w:numId w:val="0"/>
              </w:numPr>
              <w:pBdr>
                <w:top w:val="none" w:color="auto" w:sz="0" w:space="0"/>
                <w:left w:val="none" w:color="auto" w:sz="0" w:space="0"/>
                <w:bottom w:val="none" w:color="auto" w:sz="0" w:space="0"/>
                <w:right w:val="none" w:color="auto" w:sz="0" w:space="0"/>
              </w:pBdr>
              <w:spacing w:beforeAutospacing="0" w:after="0" w:afterAutospacing="0"/>
              <w:ind w:leftChars="0" w:right="0" w:rightChars="0"/>
              <w:jc w:val="both"/>
              <w:rPr>
                <w:rFonts w:hint="eastAsia" w:ascii="宋体" w:hAnsi="宋体" w:eastAsia="宋体" w:cs="宋体"/>
                <w:color w:val="auto"/>
                <w:sz w:val="21"/>
                <w:szCs w:val="21"/>
                <w:highlight w:val="none"/>
              </w:rPr>
            </w:pPr>
          </w:p>
          <w:p w14:paraId="0D036F58">
            <w:pPr>
              <w:pStyle w:val="11"/>
              <w:widowControl/>
              <w:numPr>
                <w:ilvl w:val="0"/>
                <w:numId w:val="0"/>
              </w:numPr>
              <w:pBdr>
                <w:top w:val="none" w:color="auto" w:sz="0" w:space="0"/>
                <w:left w:val="none" w:color="auto" w:sz="0" w:space="0"/>
                <w:bottom w:val="none" w:color="auto" w:sz="0" w:space="0"/>
                <w:right w:val="none" w:color="auto" w:sz="0" w:space="0"/>
              </w:pBdr>
              <w:spacing w:beforeAutospacing="0" w:after="0" w:afterAutospacing="0"/>
              <w:ind w:leftChars="0" w:right="0" w:rightChars="0"/>
              <w:jc w:val="both"/>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eastAsia="zh-CN"/>
              </w:rPr>
              <w:t>其他参数待收集</w:t>
            </w:r>
          </w:p>
        </w:tc>
        <w:tc>
          <w:tcPr>
            <w:tcW w:w="720" w:type="dxa"/>
            <w:tcBorders>
              <w:top w:val="nil"/>
              <w:left w:val="nil"/>
              <w:bottom w:val="nil"/>
              <w:right w:val="single" w:color="auto" w:sz="6" w:space="0"/>
            </w:tcBorders>
            <w:shd w:val="clear" w:color="auto" w:fill="auto"/>
            <w:tcMar>
              <w:left w:w="105" w:type="dxa"/>
              <w:right w:w="105" w:type="dxa"/>
            </w:tcMar>
            <w:vAlign w:val="center"/>
          </w:tcPr>
          <w:p w14:paraId="028D4D37">
            <w:pPr>
              <w:spacing w:line="400" w:lineRule="exact"/>
              <w:ind w:firstLine="420" w:firstLineChars="200"/>
            </w:pPr>
          </w:p>
        </w:tc>
      </w:tr>
      <w:tr w14:paraId="301784E9">
        <w:tblPrEx>
          <w:tblCellMar>
            <w:top w:w="0" w:type="dxa"/>
            <w:left w:w="0" w:type="dxa"/>
            <w:bottom w:w="0" w:type="dxa"/>
            <w:right w:w="0" w:type="dxa"/>
          </w:tblCellMar>
        </w:tblPrEx>
        <w:trPr>
          <w:trHeight w:val="556" w:hRule="atLeast"/>
        </w:trPr>
        <w:tc>
          <w:tcPr>
            <w:tcW w:w="7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4032DED7">
            <w:pPr>
              <w:spacing w:line="400" w:lineRule="exact"/>
              <w:jc w:val="center"/>
              <w:rPr>
                <w:rFonts w:hint="eastAsia"/>
              </w:rPr>
            </w:pPr>
          </w:p>
        </w:tc>
        <w:tc>
          <w:tcPr>
            <w:tcW w:w="1200" w:type="dxa"/>
            <w:tcBorders>
              <w:top w:val="nil"/>
              <w:left w:val="nil"/>
              <w:bottom w:val="single" w:color="auto" w:sz="6" w:space="0"/>
              <w:right w:val="single" w:color="auto" w:sz="6" w:space="0"/>
            </w:tcBorders>
            <w:shd w:val="clear" w:color="auto" w:fill="auto"/>
            <w:tcMar>
              <w:left w:w="105" w:type="dxa"/>
              <w:right w:w="105" w:type="dxa"/>
            </w:tcMar>
            <w:vAlign w:val="center"/>
          </w:tcPr>
          <w:p w14:paraId="1B484DF0">
            <w:pPr>
              <w:spacing w:line="400" w:lineRule="exact"/>
              <w:jc w:val="center"/>
              <w:rPr>
                <w:rFonts w:hint="eastAsia"/>
                <w:lang w:val="en-US" w:eastAsia="zh-CN"/>
              </w:rPr>
            </w:pPr>
            <w:r>
              <w:rPr>
                <w:rFonts w:hint="eastAsia"/>
                <w:lang w:val="en-US" w:eastAsia="zh-CN"/>
              </w:rPr>
              <w:t>商务要求</w:t>
            </w:r>
          </w:p>
        </w:tc>
        <w:tc>
          <w:tcPr>
            <w:tcW w:w="675" w:type="dxa"/>
            <w:tcBorders>
              <w:top w:val="nil"/>
              <w:left w:val="nil"/>
              <w:bottom w:val="single" w:color="auto" w:sz="6" w:space="0"/>
              <w:right w:val="single" w:color="auto" w:sz="6" w:space="0"/>
            </w:tcBorders>
            <w:shd w:val="clear" w:color="auto" w:fill="auto"/>
            <w:tcMar>
              <w:left w:w="105" w:type="dxa"/>
              <w:right w:w="105" w:type="dxa"/>
            </w:tcMar>
            <w:vAlign w:val="center"/>
          </w:tcPr>
          <w:p w14:paraId="64030E17">
            <w:pPr>
              <w:spacing w:line="400" w:lineRule="exact"/>
              <w:jc w:val="center"/>
              <w:rPr>
                <w:rFonts w:hint="eastAsia"/>
                <w:lang w:val="en-US" w:eastAsia="zh-CN"/>
              </w:rPr>
            </w:pPr>
          </w:p>
        </w:tc>
        <w:tc>
          <w:tcPr>
            <w:tcW w:w="6315" w:type="dxa"/>
            <w:tcBorders>
              <w:top w:val="nil"/>
              <w:left w:val="nil"/>
              <w:bottom w:val="single" w:color="auto" w:sz="6" w:space="0"/>
              <w:right w:val="single" w:color="auto" w:sz="6" w:space="0"/>
            </w:tcBorders>
            <w:shd w:val="clear" w:color="auto" w:fill="auto"/>
            <w:tcMar>
              <w:left w:w="105" w:type="dxa"/>
              <w:right w:w="105" w:type="dxa"/>
            </w:tcMar>
            <w:vAlign w:val="center"/>
          </w:tcPr>
          <w:p w14:paraId="6DEEF878">
            <w:pPr>
              <w:pStyle w:val="11"/>
              <w:widowControl/>
              <w:numPr>
                <w:ilvl w:val="0"/>
                <w:numId w:val="0"/>
              </w:numPr>
              <w:pBdr>
                <w:top w:val="none" w:color="auto" w:sz="0" w:space="0"/>
                <w:left w:val="none" w:color="auto" w:sz="0" w:space="0"/>
                <w:bottom w:val="none" w:color="auto" w:sz="0" w:space="0"/>
                <w:right w:val="none" w:color="auto" w:sz="0" w:space="0"/>
              </w:pBdr>
              <w:spacing w:beforeAutospacing="0" w:after="0" w:afterAutospacing="0"/>
              <w:ind w:leftChars="0" w:right="0" w:rightChars="0"/>
              <w:jc w:val="both"/>
              <w:rPr>
                <w:rFonts w:hint="default"/>
                <w:color w:val="auto"/>
                <w:lang w:val="en-US" w:eastAsia="zh-CN"/>
              </w:rPr>
            </w:pPr>
            <w:r>
              <w:rPr>
                <w:rFonts w:hint="eastAsia"/>
                <w:color w:val="auto"/>
                <w:lang w:val="en-US" w:eastAsia="zh-CN"/>
              </w:rPr>
              <w:t>1.保修10年</w:t>
            </w:r>
          </w:p>
        </w:tc>
        <w:tc>
          <w:tcPr>
            <w:tcW w:w="720" w:type="dxa"/>
            <w:tcBorders>
              <w:top w:val="nil"/>
              <w:left w:val="nil"/>
              <w:bottom w:val="single" w:color="auto" w:sz="6" w:space="0"/>
              <w:right w:val="single" w:color="auto" w:sz="6" w:space="0"/>
            </w:tcBorders>
            <w:shd w:val="clear" w:color="auto" w:fill="auto"/>
            <w:tcMar>
              <w:left w:w="105" w:type="dxa"/>
              <w:right w:w="105" w:type="dxa"/>
            </w:tcMar>
            <w:vAlign w:val="center"/>
          </w:tcPr>
          <w:p w14:paraId="7241B8DF">
            <w:pPr>
              <w:spacing w:line="400" w:lineRule="exact"/>
              <w:ind w:firstLine="420" w:firstLineChars="200"/>
            </w:pPr>
          </w:p>
        </w:tc>
      </w:tr>
    </w:tbl>
    <w:p w14:paraId="43E53EFB">
      <w:pPr>
        <w:spacing w:line="400" w:lineRule="exact"/>
        <w:ind w:firstLine="420" w:firstLineChars="200"/>
        <w:rPr>
          <w:rFonts w:hint="eastAsia"/>
        </w:rPr>
      </w:pPr>
    </w:p>
    <w:p w14:paraId="0588403C">
      <w:pPr>
        <w:spacing w:line="400" w:lineRule="exact"/>
        <w:ind w:firstLine="420" w:firstLineChars="200"/>
      </w:pPr>
      <w:r>
        <w:rPr>
          <w:rFonts w:hint="eastAsia"/>
        </w:rPr>
        <w:t>二、调查方式</w:t>
      </w:r>
    </w:p>
    <w:p w14:paraId="6228C69A">
      <w:pPr>
        <w:spacing w:line="400" w:lineRule="exact"/>
        <w:ind w:firstLine="420" w:firstLineChars="200"/>
      </w:pPr>
      <w:r>
        <w:rPr>
          <w:rFonts w:hint="eastAsia"/>
        </w:rPr>
        <w:t>问卷调查</w:t>
      </w:r>
    </w:p>
    <w:p w14:paraId="5A678FE6">
      <w:pPr>
        <w:spacing w:line="400" w:lineRule="exact"/>
        <w:ind w:firstLine="420" w:firstLineChars="200"/>
      </w:pPr>
      <w:r>
        <w:rPr>
          <w:rFonts w:hint="eastAsia"/>
        </w:rPr>
        <w:t>三、调查要求</w:t>
      </w:r>
    </w:p>
    <w:p w14:paraId="350E062A">
      <w:pPr>
        <w:spacing w:line="400" w:lineRule="exact"/>
        <w:ind w:firstLine="420" w:firstLineChars="200"/>
      </w:pPr>
      <w:r>
        <w:rPr>
          <w:rFonts w:hint="eastAsia"/>
        </w:rPr>
        <w:t>1.资料要求</w:t>
      </w:r>
    </w:p>
    <w:p w14:paraId="07D76FC5">
      <w:pPr>
        <w:spacing w:line="400" w:lineRule="exact"/>
        <w:ind w:firstLine="420" w:firstLineChars="200"/>
      </w:pPr>
      <w:r>
        <w:rPr>
          <w:rFonts w:hint="eastAsia"/>
        </w:rPr>
        <w:t>有意向参加调查的供应商请于202</w:t>
      </w:r>
      <w:r>
        <w:rPr>
          <w:rFonts w:hint="eastAsia"/>
          <w:lang w:val="en-US" w:eastAsia="zh-CN"/>
        </w:rPr>
        <w:t>6</w:t>
      </w:r>
      <w:r>
        <w:rPr>
          <w:rFonts w:hint="eastAsia"/>
        </w:rPr>
        <w:t>年</w:t>
      </w:r>
      <w:r>
        <w:rPr>
          <w:rFonts w:hint="eastAsia"/>
          <w:lang w:val="en-US" w:eastAsia="zh-CN"/>
        </w:rPr>
        <w:t>4</w:t>
      </w:r>
      <w:r>
        <w:rPr>
          <w:rFonts w:hint="eastAsia"/>
          <w:color w:val="0000FF"/>
        </w:rPr>
        <w:t>月</w:t>
      </w:r>
      <w:r>
        <w:rPr>
          <w:rFonts w:hint="eastAsia"/>
          <w:color w:val="0000FF"/>
          <w:lang w:val="en-US" w:eastAsia="zh-CN"/>
        </w:rPr>
        <w:t>14</w:t>
      </w:r>
      <w:r>
        <w:rPr>
          <w:rFonts w:hint="eastAsia"/>
          <w:color w:val="0000FF"/>
        </w:rPr>
        <w:t>日起至20</w:t>
      </w:r>
      <w:r>
        <w:rPr>
          <w:rFonts w:hint="eastAsia"/>
          <w:color w:val="0000FF"/>
          <w:lang w:val="en-US" w:eastAsia="zh-CN"/>
        </w:rPr>
        <w:t>26</w:t>
      </w:r>
      <w:r>
        <w:rPr>
          <w:rFonts w:hint="eastAsia"/>
          <w:color w:val="0000FF"/>
        </w:rPr>
        <w:t>年</w:t>
      </w:r>
      <w:r>
        <w:rPr>
          <w:rFonts w:hint="eastAsia"/>
          <w:color w:val="0000FF"/>
          <w:lang w:val="en-US" w:eastAsia="zh-CN"/>
        </w:rPr>
        <w:t>4</w:t>
      </w:r>
      <w:r>
        <w:rPr>
          <w:rFonts w:hint="eastAsia"/>
          <w:color w:val="0000FF"/>
        </w:rPr>
        <w:t>月</w:t>
      </w:r>
      <w:r>
        <w:rPr>
          <w:rFonts w:hint="eastAsia"/>
          <w:color w:val="0000FF"/>
          <w:lang w:val="en-US" w:eastAsia="zh-CN"/>
        </w:rPr>
        <w:t>19</w:t>
      </w:r>
      <w:r>
        <w:rPr>
          <w:rFonts w:hint="eastAsia"/>
          <w:color w:val="0000FF"/>
        </w:rPr>
        <w:t>日</w:t>
      </w:r>
      <w:r>
        <w:rPr>
          <w:rFonts w:hint="eastAsia"/>
        </w:rPr>
        <w:t>按市场调</w:t>
      </w:r>
      <w:r>
        <w:rPr>
          <w:rFonts w:hint="eastAsia"/>
          <w:lang w:eastAsia="zh-CN"/>
        </w:rPr>
        <w:t>研</w:t>
      </w:r>
      <w:r>
        <w:rPr>
          <w:rFonts w:hint="eastAsia"/>
        </w:rPr>
        <w:t>问卷的要求及格式完成市场</w:t>
      </w:r>
      <w:r>
        <w:rPr>
          <w:rFonts w:hint="eastAsia"/>
          <w:lang w:eastAsia="zh-CN"/>
        </w:rPr>
        <w:t>研</w:t>
      </w:r>
      <w:r>
        <w:rPr>
          <w:rFonts w:hint="eastAsia"/>
        </w:rPr>
        <w:t>查响应文件</w:t>
      </w:r>
      <w:r>
        <w:rPr>
          <w:rFonts w:hint="eastAsia"/>
          <w:lang w:eastAsia="zh-CN"/>
        </w:rPr>
        <w:t>并</w:t>
      </w:r>
      <w:r>
        <w:rPr>
          <w:rFonts w:hint="eastAsia"/>
        </w:rPr>
        <w:t>发送</w:t>
      </w:r>
      <w:r>
        <w:rPr>
          <w:rFonts w:hint="eastAsia"/>
          <w:lang w:eastAsia="zh-CN"/>
        </w:rPr>
        <w:t>调研问卷</w:t>
      </w:r>
      <w:r>
        <w:rPr>
          <w:rFonts w:hint="eastAsia"/>
        </w:rPr>
        <w:t>至邮箱：</w:t>
      </w:r>
      <w:r>
        <w:rPr>
          <w:rFonts w:hint="eastAsia"/>
          <w:lang w:val="en-US" w:eastAsia="zh-CN"/>
        </w:rPr>
        <w:t>316140083@qq.com</w:t>
      </w:r>
      <w:r>
        <w:rPr>
          <w:rFonts w:hint="eastAsia"/>
        </w:rPr>
        <w:t>（邮件格式主题：项目名称+公司名称+调查问卷）</w:t>
      </w:r>
      <w:r>
        <w:rPr>
          <w:rFonts w:hint="eastAsia"/>
          <w:lang w:eastAsia="zh-CN"/>
        </w:rPr>
        <w:t>。</w:t>
      </w:r>
      <w:r>
        <w:rPr>
          <w:rFonts w:hint="eastAsia"/>
        </w:rPr>
        <w:t>市场调</w:t>
      </w:r>
      <w:r>
        <w:rPr>
          <w:rFonts w:hint="eastAsia"/>
          <w:lang w:eastAsia="zh-CN"/>
        </w:rPr>
        <w:t>研</w:t>
      </w:r>
      <w:r>
        <w:rPr>
          <w:rFonts w:hint="eastAsia"/>
        </w:rPr>
        <w:t>响应文件需提供扫描文件（格式：pdf）一份以及可编辑的Word格式电子文件（格式：doc或docx）一份。电子文件命名方式：项目名称+公司名称</w:t>
      </w:r>
    </w:p>
    <w:p w14:paraId="5FE82815">
      <w:pPr>
        <w:spacing w:line="400" w:lineRule="exact"/>
        <w:ind w:firstLine="420" w:firstLineChars="200"/>
      </w:pPr>
      <w:r>
        <w:rPr>
          <w:rFonts w:hint="eastAsia"/>
        </w:rPr>
        <w:t>2.递交截止时间</w:t>
      </w:r>
    </w:p>
    <w:p w14:paraId="1FC19DFB">
      <w:pPr>
        <w:spacing w:line="400" w:lineRule="exact"/>
        <w:ind w:firstLine="420" w:firstLineChars="200"/>
      </w:pPr>
      <w:r>
        <w:rPr>
          <w:rFonts w:hint="eastAsia"/>
          <w:color w:val="0000FF"/>
        </w:rPr>
        <w:t>20</w:t>
      </w:r>
      <w:r>
        <w:rPr>
          <w:rFonts w:hint="eastAsia"/>
          <w:color w:val="0000FF"/>
          <w:lang w:val="en-US" w:eastAsia="zh-CN"/>
        </w:rPr>
        <w:t>26</w:t>
      </w:r>
      <w:r>
        <w:rPr>
          <w:rFonts w:hint="eastAsia"/>
          <w:color w:val="0000FF"/>
        </w:rPr>
        <w:t>年</w:t>
      </w:r>
      <w:r>
        <w:rPr>
          <w:rFonts w:hint="eastAsia"/>
          <w:color w:val="0000FF"/>
          <w:lang w:val="en-US" w:eastAsia="zh-CN"/>
        </w:rPr>
        <w:t>4</w:t>
      </w:r>
      <w:r>
        <w:rPr>
          <w:rFonts w:hint="eastAsia"/>
          <w:color w:val="0000FF"/>
        </w:rPr>
        <w:t>月</w:t>
      </w:r>
      <w:r>
        <w:rPr>
          <w:rFonts w:hint="eastAsia"/>
          <w:color w:val="0000FF"/>
          <w:lang w:val="en-US" w:eastAsia="zh-CN"/>
        </w:rPr>
        <w:t>19</w:t>
      </w:r>
      <w:r>
        <w:rPr>
          <w:rFonts w:hint="eastAsia"/>
          <w:color w:val="0000FF"/>
        </w:rPr>
        <w:t>日</w:t>
      </w:r>
      <w:r>
        <w:rPr>
          <w:rFonts w:hint="eastAsia"/>
        </w:rPr>
        <w:t>18：00。</w:t>
      </w:r>
    </w:p>
    <w:p w14:paraId="55EE2E1E">
      <w:pPr>
        <w:spacing w:line="400" w:lineRule="exact"/>
        <w:ind w:firstLine="420" w:firstLineChars="200"/>
      </w:pPr>
      <w:r>
        <w:rPr>
          <w:rFonts w:hint="eastAsia"/>
        </w:rPr>
        <w:t>3.递交方式</w:t>
      </w:r>
    </w:p>
    <w:p w14:paraId="56881ED1">
      <w:pPr>
        <w:spacing w:line="400" w:lineRule="exact"/>
        <w:ind w:firstLine="420" w:firstLineChars="200"/>
      </w:pPr>
      <w:r>
        <w:rPr>
          <w:rFonts w:hint="eastAsia"/>
        </w:rPr>
        <w:t>将扫描件、电子文件以邮件附件形式在递交截至时间前发送至电子邮箱：</w:t>
      </w:r>
      <w:r>
        <w:rPr>
          <w:rFonts w:hint="eastAsia"/>
          <w:lang w:val="en-US" w:eastAsia="zh-CN"/>
        </w:rPr>
        <w:t>316140083@qq.com</w:t>
      </w:r>
      <w:r>
        <w:rPr>
          <w:rFonts w:hint="eastAsia"/>
        </w:rPr>
        <w:t>，邮件主题命名格式：项目名称+公司名称。</w:t>
      </w:r>
    </w:p>
    <w:p w14:paraId="126E18E0">
      <w:pPr>
        <w:spacing w:line="400" w:lineRule="exact"/>
        <w:ind w:firstLine="420" w:firstLineChars="200"/>
      </w:pPr>
      <w:r>
        <w:rPr>
          <w:rFonts w:hint="eastAsia"/>
        </w:rPr>
        <w:t>四、联系方式</w:t>
      </w:r>
    </w:p>
    <w:p w14:paraId="74D97493">
      <w:pPr>
        <w:spacing w:line="400" w:lineRule="exact"/>
        <w:ind w:firstLine="420" w:firstLineChars="200"/>
        <w:rPr>
          <w:rFonts w:hint="eastAsia"/>
          <w:lang w:val="en-US" w:eastAsia="zh-CN"/>
        </w:rPr>
      </w:pPr>
      <w:r>
        <w:rPr>
          <w:rFonts w:hint="eastAsia"/>
        </w:rPr>
        <w:t>联系人：</w:t>
      </w:r>
      <w:r>
        <w:rPr>
          <w:rFonts w:hint="eastAsia"/>
          <w:lang w:eastAsia="zh-CN"/>
        </w:rPr>
        <w:t>石</w:t>
      </w:r>
      <w:r>
        <w:rPr>
          <w:rFonts w:hint="eastAsia"/>
          <w:lang w:val="en-US" w:eastAsia="zh-CN"/>
        </w:rPr>
        <w:t>工</w:t>
      </w:r>
    </w:p>
    <w:p w14:paraId="0966174A">
      <w:pPr>
        <w:spacing w:line="400" w:lineRule="exact"/>
        <w:ind w:firstLine="420" w:firstLineChars="200"/>
        <w:rPr>
          <w:rFonts w:hint="default" w:eastAsiaTheme="minorEastAsia"/>
          <w:lang w:val="en-US" w:eastAsia="zh-CN"/>
        </w:rPr>
      </w:pPr>
      <w:r>
        <w:rPr>
          <w:rFonts w:hint="eastAsia"/>
        </w:rPr>
        <w:t>电话：0774-5</w:t>
      </w:r>
      <w:r>
        <w:rPr>
          <w:rFonts w:hint="eastAsia"/>
          <w:lang w:val="en-US" w:eastAsia="zh-CN"/>
        </w:rPr>
        <w:t>139083</w:t>
      </w:r>
    </w:p>
    <w:p w14:paraId="67D2624C">
      <w:pPr>
        <w:spacing w:line="400" w:lineRule="exact"/>
        <w:jc w:val="center"/>
        <w:rPr>
          <w:rFonts w:hint="eastAsia"/>
          <w:lang w:val="en-US" w:eastAsia="zh-CN"/>
        </w:rPr>
      </w:pPr>
    </w:p>
    <w:p w14:paraId="3C7D8416">
      <w:pPr>
        <w:spacing w:line="400" w:lineRule="exact"/>
        <w:jc w:val="center"/>
        <w:rPr>
          <w:rFonts w:hint="eastAsia"/>
          <w:lang w:val="en-US" w:eastAsia="zh-CN"/>
        </w:rPr>
      </w:pPr>
    </w:p>
    <w:p w14:paraId="0B095588">
      <w:pPr>
        <w:spacing w:line="400" w:lineRule="exact"/>
        <w:jc w:val="center"/>
        <w:rPr>
          <w:rFonts w:hint="eastAsia"/>
          <w:lang w:val="en-US" w:eastAsia="zh-CN"/>
        </w:rPr>
      </w:pPr>
    </w:p>
    <w:p w14:paraId="2275E4F2">
      <w:pPr>
        <w:spacing w:line="400" w:lineRule="exact"/>
        <w:jc w:val="center"/>
        <w:rPr>
          <w:rFonts w:hint="eastAsia"/>
          <w:lang w:val="en-US" w:eastAsia="zh-CN"/>
        </w:rPr>
      </w:pPr>
    </w:p>
    <w:p w14:paraId="35186A44">
      <w:pPr>
        <w:spacing w:line="400" w:lineRule="exact"/>
        <w:jc w:val="center"/>
        <w:rPr>
          <w:rFonts w:hint="eastAsia"/>
          <w:lang w:val="en-US" w:eastAsia="zh-CN"/>
        </w:rPr>
      </w:pPr>
    </w:p>
    <w:p w14:paraId="5126C514">
      <w:pPr>
        <w:spacing w:line="400" w:lineRule="exact"/>
        <w:jc w:val="center"/>
      </w:pPr>
      <w:r>
        <w:rPr>
          <w:rFonts w:hint="eastAsia"/>
          <w:lang w:val="en-US" w:eastAsia="zh-CN"/>
        </w:rPr>
        <w:t xml:space="preserve">                                                       </w:t>
      </w:r>
      <w:r>
        <w:rPr>
          <w:rFonts w:hint="eastAsia"/>
        </w:rPr>
        <w:t>202</w:t>
      </w:r>
      <w:r>
        <w:rPr>
          <w:rFonts w:hint="eastAsia"/>
          <w:lang w:val="en-US" w:eastAsia="zh-CN"/>
        </w:rPr>
        <w:t>6</w:t>
      </w:r>
      <w:r>
        <w:rPr>
          <w:rFonts w:hint="eastAsia"/>
        </w:rPr>
        <w:t>年</w:t>
      </w:r>
      <w:r>
        <w:rPr>
          <w:rFonts w:hint="eastAsia"/>
          <w:color w:val="0000FF"/>
          <w:lang w:val="en-US" w:eastAsia="zh-CN"/>
        </w:rPr>
        <w:t>4</w:t>
      </w:r>
      <w:r>
        <w:rPr>
          <w:rFonts w:hint="eastAsia"/>
          <w:color w:val="0000FF"/>
        </w:rPr>
        <w:t>月</w:t>
      </w:r>
      <w:r>
        <w:rPr>
          <w:rFonts w:hint="eastAsia"/>
          <w:color w:val="0000FF"/>
          <w:lang w:val="en-US" w:eastAsia="zh-CN"/>
        </w:rPr>
        <w:t>14</w:t>
      </w:r>
      <w:r>
        <w:rPr>
          <w:rFonts w:hint="eastAsia"/>
          <w:color w:val="0000FF"/>
        </w:rPr>
        <w:t>日</w:t>
      </w:r>
    </w:p>
    <w:p w14:paraId="2836B7E6">
      <w:pPr>
        <w:spacing w:line="400" w:lineRule="exact"/>
        <w:rPr>
          <w:rFonts w:ascii="宋体" w:hAnsi="宋体" w:eastAsia="宋体" w:cs="宋体"/>
          <w:szCs w:val="21"/>
        </w:rPr>
      </w:pPr>
      <w:bookmarkStart w:id="6" w:name="_GoBack"/>
      <w:bookmarkEnd w:id="6"/>
    </w:p>
    <w:p w14:paraId="536EC433">
      <w:pPr>
        <w:pStyle w:val="3"/>
        <w:rPr>
          <w:szCs w:val="30"/>
        </w:rPr>
      </w:pPr>
      <w:bookmarkStart w:id="0" w:name="_Toc8052"/>
      <w:r>
        <w:rPr>
          <w:rFonts w:hint="eastAsia"/>
          <w:szCs w:val="30"/>
        </w:rPr>
        <w:t>二、调查内容</w:t>
      </w:r>
    </w:p>
    <w:p w14:paraId="183F1511">
      <w:pPr>
        <w:pStyle w:val="4"/>
        <w:rPr>
          <w:szCs w:val="28"/>
        </w:rPr>
      </w:pPr>
      <w:r>
        <w:rPr>
          <w:rFonts w:hint="eastAsia"/>
          <w:szCs w:val="28"/>
        </w:rPr>
        <w:t>1、问卷邀请函</w:t>
      </w:r>
    </w:p>
    <w:p w14:paraId="0E928252">
      <w:pPr>
        <w:spacing w:line="360" w:lineRule="auto"/>
        <w:jc w:val="left"/>
        <w:rPr>
          <w:rFonts w:ascii="宋体" w:hAnsi="宋体" w:eastAsia="宋体"/>
          <w:sz w:val="24"/>
          <w:szCs w:val="24"/>
        </w:rPr>
      </w:pPr>
      <w:r>
        <w:rPr>
          <w:rFonts w:hint="eastAsia" w:ascii="宋体" w:hAnsi="宋体" w:eastAsia="宋体"/>
          <w:sz w:val="24"/>
          <w:szCs w:val="24"/>
        </w:rPr>
        <w:t>致</w:t>
      </w:r>
      <w:r>
        <w:rPr>
          <w:rFonts w:hint="eastAsia" w:ascii="宋体" w:hAnsi="宋体" w:eastAsia="宋体"/>
          <w:sz w:val="24"/>
          <w:szCs w:val="24"/>
          <w:lang w:eastAsia="zh-CN"/>
        </w:rPr>
        <w:t>贺州市中医医院</w:t>
      </w:r>
      <w:r>
        <w:rPr>
          <w:rFonts w:hint="eastAsia" w:ascii="宋体" w:hAnsi="宋体" w:eastAsia="宋体"/>
          <w:sz w:val="24"/>
          <w:szCs w:val="24"/>
        </w:rPr>
        <w:t>：</w:t>
      </w:r>
    </w:p>
    <w:p w14:paraId="318185C4">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我公司已认真阅读了贵</w:t>
      </w:r>
      <w:r>
        <w:rPr>
          <w:rFonts w:hint="eastAsia" w:ascii="宋体" w:hAnsi="宋体" w:eastAsia="宋体"/>
          <w:sz w:val="24"/>
          <w:szCs w:val="24"/>
          <w:lang w:eastAsia="zh-CN"/>
        </w:rPr>
        <w:t>单位</w:t>
      </w:r>
      <w:r>
        <w:rPr>
          <w:rFonts w:hint="eastAsia" w:ascii="宋体" w:hAnsi="宋体" w:eastAsia="宋体"/>
          <w:sz w:val="24"/>
          <w:szCs w:val="24"/>
        </w:rPr>
        <w:t>编制的采购</w:t>
      </w:r>
      <w:r>
        <w:rPr>
          <w:rFonts w:hint="default" w:ascii="宋体" w:hAnsi="宋体" w:eastAsia="宋体"/>
          <w:sz w:val="24"/>
          <w:szCs w:val="24"/>
        </w:rPr>
        <w:t>市场调研</w:t>
      </w:r>
      <w:r>
        <w:rPr>
          <w:rFonts w:hint="eastAsia" w:ascii="宋体" w:hAnsi="宋体" w:eastAsia="宋体"/>
          <w:sz w:val="24"/>
          <w:szCs w:val="24"/>
          <w:lang w:eastAsia="zh-CN"/>
        </w:rPr>
        <w:t>问卷</w:t>
      </w:r>
      <w:r>
        <w:rPr>
          <w:rFonts w:hint="eastAsia" w:ascii="宋体" w:hAnsi="宋体" w:eastAsia="宋体"/>
          <w:sz w:val="24"/>
          <w:szCs w:val="24"/>
        </w:rPr>
        <w:t>，充分知悉并了解了贵</w:t>
      </w:r>
      <w:r>
        <w:rPr>
          <w:rFonts w:hint="eastAsia" w:ascii="宋体" w:hAnsi="宋体" w:eastAsia="宋体"/>
          <w:sz w:val="24"/>
          <w:szCs w:val="24"/>
          <w:lang w:eastAsia="zh-CN"/>
        </w:rPr>
        <w:t>单位</w:t>
      </w:r>
      <w:r>
        <w:rPr>
          <w:rFonts w:hint="eastAsia" w:ascii="宋体" w:hAnsi="宋体" w:eastAsia="宋体"/>
          <w:sz w:val="24"/>
          <w:szCs w:val="24"/>
        </w:rPr>
        <w:t>针对本次采购需求调查内容，我方针对本次调</w:t>
      </w:r>
      <w:r>
        <w:rPr>
          <w:rFonts w:hint="eastAsia" w:ascii="宋体" w:hAnsi="宋体" w:eastAsia="宋体"/>
          <w:sz w:val="24"/>
          <w:szCs w:val="24"/>
          <w:lang w:eastAsia="zh-CN"/>
        </w:rPr>
        <w:t>研</w:t>
      </w:r>
      <w:r>
        <w:rPr>
          <w:rFonts w:hint="eastAsia" w:ascii="宋体" w:hAnsi="宋体" w:eastAsia="宋体"/>
          <w:sz w:val="24"/>
          <w:szCs w:val="24"/>
        </w:rPr>
        <w:t>问卷的建议或者意见都已在本记录中进行了反映。</w:t>
      </w:r>
    </w:p>
    <w:p w14:paraId="43578E05">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我方同意贵方无偿采用我方提交的采购需求调</w:t>
      </w:r>
      <w:r>
        <w:rPr>
          <w:rFonts w:hint="eastAsia" w:ascii="宋体" w:hAnsi="宋体" w:eastAsia="宋体"/>
          <w:sz w:val="24"/>
          <w:szCs w:val="24"/>
          <w:lang w:eastAsia="zh-CN"/>
        </w:rPr>
        <w:t>研</w:t>
      </w:r>
      <w:r>
        <w:rPr>
          <w:rFonts w:hint="eastAsia" w:ascii="宋体" w:hAnsi="宋体" w:eastAsia="宋体"/>
          <w:sz w:val="24"/>
          <w:szCs w:val="24"/>
        </w:rPr>
        <w:t>问卷全部或部分内容作为贵方采购需求的内容，并无需承担任何责任。</w:t>
      </w:r>
    </w:p>
    <w:p w14:paraId="6190A415">
      <w:pPr>
        <w:spacing w:line="360" w:lineRule="auto"/>
        <w:jc w:val="left"/>
        <w:rPr>
          <w:rFonts w:ascii="宋体" w:hAnsi="宋体" w:eastAsia="宋体"/>
          <w:sz w:val="24"/>
          <w:szCs w:val="24"/>
        </w:rPr>
      </w:pPr>
    </w:p>
    <w:p w14:paraId="714BBC68">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本公司将严格遵守上述事项，并对其真实性负责。</w:t>
      </w:r>
    </w:p>
    <w:p w14:paraId="7978C6BB">
      <w:pPr>
        <w:wordWrap w:val="0"/>
        <w:rPr>
          <w:rFonts w:ascii="宋体" w:hAnsi="宋体" w:eastAsia="宋体"/>
          <w:b/>
          <w:bCs/>
          <w:sz w:val="28"/>
          <w:szCs w:val="28"/>
        </w:rPr>
      </w:pPr>
    </w:p>
    <w:p w14:paraId="3545459C">
      <w:pPr>
        <w:spacing w:line="480" w:lineRule="auto"/>
        <w:ind w:right="1205"/>
        <w:jc w:val="right"/>
        <w:rPr>
          <w:rFonts w:ascii="宋体" w:hAnsi="宋体" w:eastAsia="宋体"/>
          <w:b/>
          <w:bCs/>
          <w:sz w:val="24"/>
          <w:szCs w:val="24"/>
          <w:u w:val="single"/>
        </w:rPr>
      </w:pPr>
      <w:r>
        <w:rPr>
          <w:rFonts w:hint="eastAsia" w:ascii="宋体" w:hAnsi="宋体" w:eastAsia="宋体"/>
          <w:b/>
          <w:bCs/>
          <w:sz w:val="24"/>
          <w:szCs w:val="24"/>
        </w:rPr>
        <w:t>单位名称：</w:t>
      </w:r>
      <w:r>
        <w:rPr>
          <w:rFonts w:hint="eastAsia" w:ascii="宋体" w:hAnsi="宋体" w:eastAsia="宋体"/>
          <w:b/>
          <w:bCs/>
          <w:sz w:val="24"/>
          <w:szCs w:val="24"/>
          <w:u w:val="single"/>
        </w:rPr>
        <w:t xml:space="preserve">          （盖公章）</w:t>
      </w:r>
    </w:p>
    <w:p w14:paraId="065BCFB9">
      <w:pPr>
        <w:wordWrap w:val="0"/>
        <w:spacing w:line="480" w:lineRule="auto"/>
        <w:ind w:right="1205" w:firstLine="4337" w:firstLineChars="1800"/>
        <w:jc w:val="both"/>
        <w:rPr>
          <w:rFonts w:ascii="宋体" w:hAnsi="宋体" w:eastAsia="宋体"/>
          <w:b/>
          <w:bCs/>
          <w:sz w:val="24"/>
          <w:szCs w:val="24"/>
        </w:rPr>
      </w:pPr>
      <w:r>
        <w:rPr>
          <w:rFonts w:hint="eastAsia" w:ascii="宋体" w:hAnsi="宋体" w:eastAsia="宋体"/>
          <w:b/>
          <w:bCs/>
          <w:sz w:val="24"/>
          <w:szCs w:val="24"/>
        </w:rPr>
        <w:t>联系人：</w:t>
      </w:r>
      <w:r>
        <w:rPr>
          <w:rFonts w:hint="eastAsia" w:ascii="宋体" w:hAnsi="宋体" w:eastAsia="宋体"/>
          <w:b/>
          <w:bCs/>
          <w:sz w:val="24"/>
          <w:szCs w:val="24"/>
          <w:u w:val="single"/>
        </w:rPr>
        <w:t xml:space="preserve">        </w:t>
      </w:r>
      <w:r>
        <w:rPr>
          <w:rFonts w:hint="eastAsia" w:ascii="宋体" w:hAnsi="宋体" w:eastAsia="宋体"/>
          <w:b/>
          <w:bCs/>
          <w:sz w:val="24"/>
          <w:szCs w:val="24"/>
          <w:u w:val="single"/>
          <w:lang w:val="en-US" w:eastAsia="zh-CN"/>
        </w:rPr>
        <w:t xml:space="preserve">       </w:t>
      </w:r>
      <w:r>
        <w:rPr>
          <w:rFonts w:hint="eastAsia" w:ascii="宋体" w:hAnsi="宋体" w:eastAsia="宋体"/>
          <w:b/>
          <w:bCs/>
          <w:sz w:val="24"/>
          <w:szCs w:val="24"/>
          <w:u w:val="single"/>
        </w:rPr>
        <w:t xml:space="preserve">      </w:t>
      </w:r>
    </w:p>
    <w:p w14:paraId="6369827A">
      <w:pPr>
        <w:wordWrap w:val="0"/>
        <w:spacing w:line="480" w:lineRule="auto"/>
        <w:ind w:right="1205" w:firstLine="4337" w:firstLineChars="1800"/>
        <w:jc w:val="both"/>
        <w:rPr>
          <w:rFonts w:ascii="宋体" w:hAnsi="宋体" w:eastAsia="宋体"/>
          <w:b/>
          <w:bCs/>
          <w:sz w:val="24"/>
          <w:szCs w:val="24"/>
        </w:rPr>
      </w:pPr>
      <w:r>
        <w:rPr>
          <w:rFonts w:hint="eastAsia" w:ascii="宋体" w:hAnsi="宋体" w:eastAsia="宋体"/>
          <w:b/>
          <w:bCs/>
          <w:sz w:val="24"/>
          <w:szCs w:val="24"/>
        </w:rPr>
        <w:t>联系电话：</w:t>
      </w:r>
      <w:r>
        <w:rPr>
          <w:rFonts w:hint="eastAsia" w:ascii="宋体" w:hAnsi="宋体" w:eastAsia="宋体"/>
          <w:b/>
          <w:bCs/>
          <w:sz w:val="24"/>
          <w:szCs w:val="24"/>
          <w:u w:val="single"/>
        </w:rPr>
        <w:t xml:space="preserve">     </w:t>
      </w:r>
      <w:r>
        <w:rPr>
          <w:rFonts w:hint="eastAsia" w:ascii="宋体" w:hAnsi="宋体" w:eastAsia="宋体"/>
          <w:b/>
          <w:bCs/>
          <w:sz w:val="24"/>
          <w:szCs w:val="24"/>
          <w:u w:val="single"/>
          <w:lang w:val="en-US" w:eastAsia="zh-CN"/>
        </w:rPr>
        <w:t xml:space="preserve">      </w:t>
      </w:r>
      <w:r>
        <w:rPr>
          <w:rFonts w:hint="eastAsia" w:ascii="宋体" w:hAnsi="宋体" w:eastAsia="宋体"/>
          <w:b/>
          <w:bCs/>
          <w:sz w:val="24"/>
          <w:szCs w:val="24"/>
          <w:u w:val="single"/>
        </w:rPr>
        <w:t xml:space="preserve">        </w:t>
      </w:r>
    </w:p>
    <w:p w14:paraId="5EDA9B15">
      <w:pPr>
        <w:wordWrap w:val="0"/>
        <w:spacing w:line="480" w:lineRule="auto"/>
        <w:ind w:right="844" w:firstLine="4337" w:firstLineChars="1800"/>
        <w:rPr>
          <w:szCs w:val="20"/>
        </w:rPr>
      </w:pPr>
      <w:bookmarkStart w:id="1" w:name="_Hlk85126858"/>
      <w:r>
        <w:rPr>
          <w:rFonts w:hint="eastAsia" w:ascii="宋体" w:hAnsi="宋体" w:eastAsia="宋体"/>
          <w:b/>
          <w:bCs/>
          <w:sz w:val="24"/>
          <w:szCs w:val="24"/>
        </w:rPr>
        <w:t>日    期：2</w:t>
      </w:r>
      <w:r>
        <w:rPr>
          <w:rFonts w:ascii="宋体" w:hAnsi="宋体" w:eastAsia="宋体"/>
          <w:b/>
          <w:bCs/>
          <w:sz w:val="24"/>
          <w:szCs w:val="24"/>
        </w:rPr>
        <w:t>0</w:t>
      </w:r>
      <w:r>
        <w:rPr>
          <w:rFonts w:hint="eastAsia" w:ascii="宋体" w:hAnsi="宋体" w:eastAsia="宋体"/>
          <w:b/>
          <w:bCs/>
          <w:sz w:val="24"/>
          <w:szCs w:val="24"/>
          <w:lang w:val="en-US" w:eastAsia="zh-CN"/>
        </w:rPr>
        <w:t>26</w:t>
      </w:r>
      <w:r>
        <w:rPr>
          <w:rFonts w:hint="eastAsia" w:ascii="宋体" w:hAnsi="宋体" w:eastAsia="宋体"/>
          <w:b/>
          <w:bCs/>
          <w:sz w:val="24"/>
          <w:szCs w:val="24"/>
        </w:rPr>
        <w:t xml:space="preserve">年 </w:t>
      </w:r>
      <w:r>
        <w:rPr>
          <w:rFonts w:ascii="宋体" w:hAnsi="宋体" w:eastAsia="宋体"/>
          <w:b/>
          <w:bCs/>
          <w:sz w:val="24"/>
          <w:szCs w:val="24"/>
        </w:rPr>
        <w:t xml:space="preserve"> </w:t>
      </w:r>
      <w:r>
        <w:rPr>
          <w:rFonts w:hint="eastAsia" w:ascii="宋体" w:hAnsi="宋体" w:eastAsia="宋体"/>
          <w:b/>
          <w:bCs/>
          <w:sz w:val="24"/>
          <w:szCs w:val="24"/>
        </w:rPr>
        <w:t xml:space="preserve">月 </w:t>
      </w:r>
      <w:r>
        <w:rPr>
          <w:rFonts w:ascii="宋体" w:hAnsi="宋体" w:eastAsia="宋体"/>
          <w:b/>
          <w:bCs/>
          <w:sz w:val="24"/>
          <w:szCs w:val="24"/>
        </w:rPr>
        <w:t xml:space="preserve"> </w:t>
      </w:r>
      <w:r>
        <w:rPr>
          <w:rFonts w:hint="eastAsia" w:ascii="宋体" w:hAnsi="宋体" w:eastAsia="宋体"/>
          <w:b/>
          <w:bCs/>
          <w:sz w:val="24"/>
          <w:szCs w:val="24"/>
        </w:rPr>
        <w:t>日</w:t>
      </w:r>
      <w:bookmarkEnd w:id="1"/>
      <w:r>
        <w:br w:type="page"/>
      </w:r>
    </w:p>
    <w:p w14:paraId="3DEDEAF3">
      <w:pPr>
        <w:pStyle w:val="4"/>
      </w:pPr>
      <w:r>
        <w:rPr>
          <w:rFonts w:hint="eastAsia"/>
        </w:rPr>
        <w:t>2、</w:t>
      </w:r>
      <w:bookmarkEnd w:id="0"/>
      <w:r>
        <w:rPr>
          <w:rFonts w:hint="eastAsia"/>
        </w:rPr>
        <w:t>资料要求</w:t>
      </w:r>
    </w:p>
    <w:p w14:paraId="3E4997ED">
      <w:pPr>
        <w:pStyle w:val="6"/>
        <w:rPr>
          <w:rFonts w:ascii="宋体" w:hAnsi="宋体" w:eastAsia="宋体"/>
          <w:sz w:val="24"/>
          <w:szCs w:val="24"/>
        </w:rPr>
      </w:pPr>
      <w:r>
        <w:rPr>
          <w:rFonts w:ascii="宋体" w:hAnsi="宋体" w:eastAsia="宋体"/>
          <w:sz w:val="24"/>
          <w:szCs w:val="24"/>
        </w:rPr>
        <w:t>1.</w:t>
      </w:r>
      <w:r>
        <w:rPr>
          <w:rFonts w:hint="eastAsia" w:ascii="宋体" w:hAnsi="宋体" w:eastAsia="宋体"/>
          <w:sz w:val="24"/>
          <w:szCs w:val="24"/>
        </w:rPr>
        <w:t>营业执照副本复印件加盖公章</w:t>
      </w:r>
    </w:p>
    <w:p w14:paraId="36FA5EC1">
      <w:pPr>
        <w:pStyle w:val="6"/>
        <w:rPr>
          <w:rFonts w:ascii="宋体" w:hAnsi="宋体" w:eastAsia="宋体"/>
          <w:sz w:val="24"/>
          <w:szCs w:val="24"/>
        </w:rPr>
      </w:pPr>
      <w:r>
        <w:rPr>
          <w:rFonts w:hint="eastAsia" w:ascii="宋体" w:hAnsi="宋体" w:eastAsia="宋体"/>
          <w:sz w:val="24"/>
          <w:szCs w:val="24"/>
        </w:rPr>
        <w:t>2</w:t>
      </w:r>
      <w:r>
        <w:rPr>
          <w:rFonts w:ascii="宋体" w:hAnsi="宋体" w:eastAsia="宋体"/>
          <w:sz w:val="24"/>
          <w:szCs w:val="24"/>
        </w:rPr>
        <w:t>.</w:t>
      </w:r>
      <w:r>
        <w:rPr>
          <w:rFonts w:hint="eastAsia" w:ascii="宋体" w:hAnsi="宋体" w:eastAsia="宋体"/>
          <w:sz w:val="24"/>
          <w:szCs w:val="24"/>
        </w:rPr>
        <w:t>医疗器械经营许可证复印件加盖公章</w:t>
      </w:r>
    </w:p>
    <w:p w14:paraId="2F9F38FC"/>
    <w:p w14:paraId="43A75351"/>
    <w:p w14:paraId="730B3B43">
      <w:pPr>
        <w:widowControl/>
        <w:jc w:val="left"/>
        <w:rPr>
          <w:szCs w:val="20"/>
        </w:rPr>
      </w:pPr>
      <w:r>
        <w:br w:type="page"/>
      </w:r>
    </w:p>
    <w:p w14:paraId="4B7967F0">
      <w:pPr>
        <w:pStyle w:val="4"/>
      </w:pPr>
      <w:bookmarkStart w:id="2" w:name="_Toc24690"/>
      <w:r>
        <w:rPr>
          <w:rFonts w:hint="eastAsia"/>
        </w:rPr>
        <w:t>3、市场调查情况说明</w:t>
      </w:r>
    </w:p>
    <w:p w14:paraId="7EC6A056">
      <w:pPr>
        <w:pStyle w:val="19"/>
        <w:numPr>
          <w:ilvl w:val="0"/>
          <w:numId w:val="1"/>
        </w:numPr>
        <w:spacing w:before="156" w:beforeLines="50" w:line="360" w:lineRule="auto"/>
        <w:ind w:left="1202" w:firstLineChars="0"/>
        <w:jc w:val="left"/>
        <w:rPr>
          <w:sz w:val="24"/>
          <w:szCs w:val="24"/>
        </w:rPr>
      </w:pPr>
      <w:r>
        <w:rPr>
          <w:rFonts w:hint="eastAsia"/>
          <w:b/>
          <w:bCs/>
          <w:sz w:val="24"/>
          <w:szCs w:val="24"/>
        </w:rPr>
        <w:t>相关产业发展情况</w:t>
      </w:r>
      <w:r>
        <w:rPr>
          <w:rFonts w:hint="eastAsia"/>
          <w:sz w:val="24"/>
          <w:szCs w:val="24"/>
        </w:rPr>
        <w:t>（产品市场情况，更新迭代或技术发展的情况描述）</w:t>
      </w:r>
    </w:p>
    <w:p w14:paraId="2C5EAC08">
      <w:pPr>
        <w:pStyle w:val="19"/>
        <w:spacing w:line="360" w:lineRule="auto"/>
        <w:ind w:left="480" w:firstLine="0" w:firstLineChars="0"/>
        <w:jc w:val="left"/>
        <w:rPr>
          <w:sz w:val="24"/>
          <w:szCs w:val="24"/>
        </w:rPr>
      </w:pPr>
      <w:r>
        <w:rPr>
          <w:rFonts w:hint="eastAsia"/>
          <w:sz w:val="24"/>
          <w:szCs w:val="24"/>
        </w:rPr>
        <w:t>如：产品目前已发展到第X代，市场上流行第X代产品，流行的技术和特点等。</w:t>
      </w:r>
    </w:p>
    <w:p w14:paraId="7487F85F">
      <w:pPr>
        <w:pStyle w:val="19"/>
        <w:spacing w:line="360" w:lineRule="auto"/>
        <w:ind w:left="480" w:firstLine="0" w:firstLineChars="0"/>
        <w:jc w:val="left"/>
        <w:rPr>
          <w:sz w:val="24"/>
          <w:szCs w:val="24"/>
        </w:rPr>
      </w:pPr>
    </w:p>
    <w:p w14:paraId="1D23DE5A">
      <w:pPr>
        <w:spacing w:line="360" w:lineRule="auto"/>
        <w:jc w:val="left"/>
        <w:rPr>
          <w:sz w:val="24"/>
          <w:szCs w:val="24"/>
        </w:rPr>
      </w:pPr>
    </w:p>
    <w:p w14:paraId="27064FDD">
      <w:pPr>
        <w:pStyle w:val="19"/>
        <w:numPr>
          <w:ilvl w:val="0"/>
          <w:numId w:val="1"/>
        </w:numPr>
        <w:spacing w:line="360" w:lineRule="auto"/>
        <w:ind w:firstLineChars="0"/>
        <w:jc w:val="left"/>
        <w:rPr>
          <w:b/>
          <w:bCs/>
          <w:sz w:val="24"/>
          <w:szCs w:val="24"/>
        </w:rPr>
      </w:pPr>
      <w:r>
        <w:rPr>
          <w:rFonts w:hint="eastAsia"/>
          <w:b/>
          <w:bCs/>
          <w:sz w:val="24"/>
          <w:szCs w:val="24"/>
        </w:rPr>
        <w:t>产品市场供给情况以及供货周期；</w:t>
      </w:r>
    </w:p>
    <w:p w14:paraId="63E07C0B">
      <w:pPr>
        <w:pStyle w:val="19"/>
        <w:spacing w:line="360" w:lineRule="auto"/>
        <w:ind w:left="1200" w:firstLine="0" w:firstLineChars="0"/>
        <w:jc w:val="left"/>
        <w:rPr>
          <w:sz w:val="24"/>
          <w:szCs w:val="24"/>
        </w:rPr>
      </w:pPr>
      <w:r>
        <w:rPr>
          <w:rFonts w:hint="eastAsia"/>
          <w:sz w:val="24"/>
          <w:szCs w:val="24"/>
        </w:rPr>
        <w:t>如：该产品国内/广西年供应量；产品生产周期，安装周期等。</w:t>
      </w:r>
    </w:p>
    <w:p w14:paraId="42C8B348">
      <w:pPr>
        <w:pStyle w:val="19"/>
        <w:spacing w:line="360" w:lineRule="auto"/>
        <w:ind w:left="1200" w:firstLine="0" w:firstLineChars="0"/>
        <w:jc w:val="left"/>
        <w:rPr>
          <w:sz w:val="24"/>
          <w:szCs w:val="24"/>
        </w:rPr>
      </w:pPr>
    </w:p>
    <w:p w14:paraId="51D13ADA">
      <w:pPr>
        <w:pStyle w:val="19"/>
        <w:numPr>
          <w:ilvl w:val="0"/>
          <w:numId w:val="1"/>
        </w:numPr>
        <w:spacing w:line="360" w:lineRule="auto"/>
        <w:ind w:firstLineChars="0"/>
        <w:jc w:val="left"/>
        <w:rPr>
          <w:b/>
          <w:bCs/>
          <w:sz w:val="24"/>
          <w:szCs w:val="24"/>
        </w:rPr>
      </w:pPr>
      <w:r>
        <w:rPr>
          <w:rFonts w:hint="eastAsia"/>
          <w:b/>
          <w:bCs/>
          <w:sz w:val="24"/>
          <w:szCs w:val="24"/>
        </w:rPr>
        <w:t>可能涉及的运行维护、升级更新、备品备件、耗材等后续维护服务及费用情况；</w:t>
      </w:r>
    </w:p>
    <w:p w14:paraId="31B63851">
      <w:pPr>
        <w:pStyle w:val="19"/>
        <w:spacing w:line="360" w:lineRule="auto"/>
        <w:ind w:left="1200" w:firstLine="0" w:firstLineChars="0"/>
        <w:jc w:val="left"/>
        <w:rPr>
          <w:sz w:val="24"/>
          <w:szCs w:val="24"/>
        </w:rPr>
      </w:pPr>
      <w:r>
        <w:rPr>
          <w:rFonts w:hint="eastAsia"/>
          <w:sz w:val="24"/>
          <w:szCs w:val="24"/>
        </w:rPr>
        <w:t>如：产品需X月进行一次常规检查、保养及费用；产品的软件不定期更新及费用；产品的备品备件、易耗品及费用；产品的维护维修介绍及费用等情况。</w:t>
      </w:r>
    </w:p>
    <w:p w14:paraId="442D5DB9">
      <w:pPr>
        <w:pStyle w:val="19"/>
        <w:spacing w:line="360" w:lineRule="auto"/>
        <w:ind w:left="1200" w:firstLine="0" w:firstLineChars="0"/>
        <w:jc w:val="left"/>
        <w:rPr>
          <w:sz w:val="24"/>
          <w:szCs w:val="24"/>
        </w:rPr>
      </w:pPr>
    </w:p>
    <w:p w14:paraId="63229391">
      <w:pPr>
        <w:pStyle w:val="19"/>
        <w:numPr>
          <w:ilvl w:val="0"/>
          <w:numId w:val="1"/>
        </w:numPr>
        <w:spacing w:line="360" w:lineRule="auto"/>
        <w:ind w:firstLineChars="0"/>
        <w:jc w:val="left"/>
        <w:rPr>
          <w:b/>
          <w:bCs/>
          <w:sz w:val="24"/>
          <w:szCs w:val="24"/>
        </w:rPr>
      </w:pPr>
      <w:r>
        <w:rPr>
          <w:rFonts w:hint="eastAsia"/>
          <w:b/>
          <w:bCs/>
          <w:sz w:val="24"/>
          <w:szCs w:val="24"/>
        </w:rPr>
        <w:t>同类采购项目历史成交信息（格式自拟，附中标（成交）通知书）；</w:t>
      </w:r>
    </w:p>
    <w:tbl>
      <w:tblPr>
        <w:tblStyle w:val="13"/>
        <w:tblW w:w="92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6"/>
        <w:gridCol w:w="1387"/>
        <w:gridCol w:w="1913"/>
        <w:gridCol w:w="1199"/>
        <w:gridCol w:w="1295"/>
        <w:gridCol w:w="1360"/>
        <w:gridCol w:w="1328"/>
      </w:tblGrid>
      <w:tr w14:paraId="4E4224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jc w:val="center"/>
        </w:trPr>
        <w:tc>
          <w:tcPr>
            <w:tcW w:w="806" w:type="dxa"/>
            <w:vAlign w:val="center"/>
          </w:tcPr>
          <w:p w14:paraId="79E837C7">
            <w:pPr>
              <w:pStyle w:val="6"/>
              <w:jc w:val="center"/>
              <w:rPr>
                <w:sz w:val="24"/>
                <w:szCs w:val="24"/>
              </w:rPr>
            </w:pPr>
            <w:r>
              <w:rPr>
                <w:rFonts w:hint="eastAsia"/>
                <w:sz w:val="24"/>
                <w:szCs w:val="24"/>
              </w:rPr>
              <w:t>序号</w:t>
            </w:r>
          </w:p>
        </w:tc>
        <w:tc>
          <w:tcPr>
            <w:tcW w:w="1387" w:type="dxa"/>
            <w:vAlign w:val="center"/>
          </w:tcPr>
          <w:p w14:paraId="27F9A7DA">
            <w:pPr>
              <w:pStyle w:val="6"/>
              <w:jc w:val="center"/>
              <w:rPr>
                <w:sz w:val="24"/>
                <w:szCs w:val="24"/>
              </w:rPr>
            </w:pPr>
            <w:r>
              <w:rPr>
                <w:sz w:val="24"/>
                <w:szCs w:val="24"/>
              </w:rPr>
              <w:t>产品名称</w:t>
            </w:r>
          </w:p>
        </w:tc>
        <w:tc>
          <w:tcPr>
            <w:tcW w:w="1913" w:type="dxa"/>
            <w:vAlign w:val="center"/>
          </w:tcPr>
          <w:p w14:paraId="63E1DB7D">
            <w:pPr>
              <w:pStyle w:val="6"/>
              <w:jc w:val="center"/>
              <w:rPr>
                <w:sz w:val="24"/>
                <w:szCs w:val="24"/>
              </w:rPr>
            </w:pPr>
            <w:r>
              <w:rPr>
                <w:sz w:val="24"/>
                <w:szCs w:val="24"/>
              </w:rPr>
              <w:t>制造商或服务商</w:t>
            </w:r>
          </w:p>
        </w:tc>
        <w:tc>
          <w:tcPr>
            <w:tcW w:w="1199" w:type="dxa"/>
            <w:vAlign w:val="center"/>
          </w:tcPr>
          <w:p w14:paraId="348BF487">
            <w:pPr>
              <w:pStyle w:val="6"/>
              <w:jc w:val="center"/>
              <w:rPr>
                <w:sz w:val="24"/>
                <w:szCs w:val="24"/>
              </w:rPr>
            </w:pPr>
            <w:r>
              <w:rPr>
                <w:sz w:val="24"/>
                <w:szCs w:val="24"/>
              </w:rPr>
              <w:t>规格型号</w:t>
            </w:r>
          </w:p>
        </w:tc>
        <w:tc>
          <w:tcPr>
            <w:tcW w:w="1295" w:type="dxa"/>
            <w:vAlign w:val="center"/>
          </w:tcPr>
          <w:p w14:paraId="3567E33B">
            <w:pPr>
              <w:pStyle w:val="6"/>
              <w:jc w:val="center"/>
              <w:rPr>
                <w:sz w:val="24"/>
                <w:szCs w:val="24"/>
              </w:rPr>
            </w:pPr>
            <w:r>
              <w:rPr>
                <w:rFonts w:hint="eastAsia"/>
                <w:sz w:val="24"/>
                <w:szCs w:val="24"/>
              </w:rPr>
              <w:t>成交价</w:t>
            </w:r>
          </w:p>
        </w:tc>
        <w:tc>
          <w:tcPr>
            <w:tcW w:w="1360" w:type="dxa"/>
            <w:vAlign w:val="center"/>
          </w:tcPr>
          <w:p w14:paraId="2B6674B7">
            <w:pPr>
              <w:pStyle w:val="6"/>
              <w:jc w:val="center"/>
              <w:rPr>
                <w:sz w:val="24"/>
                <w:szCs w:val="24"/>
              </w:rPr>
            </w:pPr>
            <w:r>
              <w:rPr>
                <w:sz w:val="24"/>
                <w:szCs w:val="24"/>
              </w:rPr>
              <w:t>采购单位</w:t>
            </w:r>
          </w:p>
        </w:tc>
        <w:tc>
          <w:tcPr>
            <w:tcW w:w="1328" w:type="dxa"/>
          </w:tcPr>
          <w:p w14:paraId="79E3C148">
            <w:pPr>
              <w:pStyle w:val="6"/>
              <w:jc w:val="center"/>
              <w:rPr>
                <w:sz w:val="24"/>
                <w:szCs w:val="24"/>
              </w:rPr>
            </w:pPr>
            <w:r>
              <w:rPr>
                <w:rFonts w:hint="eastAsia"/>
                <w:sz w:val="24"/>
                <w:szCs w:val="24"/>
              </w:rPr>
              <w:t>成交时间</w:t>
            </w:r>
          </w:p>
        </w:tc>
      </w:tr>
      <w:tr w14:paraId="04E8D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jc w:val="center"/>
        </w:trPr>
        <w:tc>
          <w:tcPr>
            <w:tcW w:w="806" w:type="dxa"/>
          </w:tcPr>
          <w:p w14:paraId="6F1F6231">
            <w:pPr>
              <w:pStyle w:val="6"/>
              <w:jc w:val="center"/>
              <w:rPr>
                <w:sz w:val="24"/>
                <w:szCs w:val="24"/>
              </w:rPr>
            </w:pPr>
          </w:p>
        </w:tc>
        <w:tc>
          <w:tcPr>
            <w:tcW w:w="1387" w:type="dxa"/>
          </w:tcPr>
          <w:p w14:paraId="1B52B6AF">
            <w:pPr>
              <w:pStyle w:val="6"/>
              <w:jc w:val="center"/>
              <w:rPr>
                <w:sz w:val="24"/>
                <w:szCs w:val="24"/>
              </w:rPr>
            </w:pPr>
          </w:p>
        </w:tc>
        <w:tc>
          <w:tcPr>
            <w:tcW w:w="1913" w:type="dxa"/>
          </w:tcPr>
          <w:p w14:paraId="6F91CA98">
            <w:pPr>
              <w:pStyle w:val="6"/>
              <w:jc w:val="center"/>
              <w:rPr>
                <w:sz w:val="24"/>
                <w:szCs w:val="24"/>
              </w:rPr>
            </w:pPr>
          </w:p>
        </w:tc>
        <w:tc>
          <w:tcPr>
            <w:tcW w:w="1199" w:type="dxa"/>
          </w:tcPr>
          <w:p w14:paraId="17D8146C">
            <w:pPr>
              <w:pStyle w:val="6"/>
              <w:jc w:val="center"/>
              <w:rPr>
                <w:sz w:val="24"/>
                <w:szCs w:val="24"/>
              </w:rPr>
            </w:pPr>
          </w:p>
        </w:tc>
        <w:tc>
          <w:tcPr>
            <w:tcW w:w="1295" w:type="dxa"/>
          </w:tcPr>
          <w:p w14:paraId="3DBA9C20">
            <w:pPr>
              <w:pStyle w:val="6"/>
              <w:jc w:val="center"/>
              <w:rPr>
                <w:sz w:val="24"/>
                <w:szCs w:val="24"/>
              </w:rPr>
            </w:pPr>
          </w:p>
        </w:tc>
        <w:tc>
          <w:tcPr>
            <w:tcW w:w="1360" w:type="dxa"/>
          </w:tcPr>
          <w:p w14:paraId="6C663B1E">
            <w:pPr>
              <w:pStyle w:val="6"/>
              <w:jc w:val="center"/>
              <w:rPr>
                <w:sz w:val="24"/>
                <w:szCs w:val="24"/>
              </w:rPr>
            </w:pPr>
          </w:p>
        </w:tc>
        <w:tc>
          <w:tcPr>
            <w:tcW w:w="1328" w:type="dxa"/>
          </w:tcPr>
          <w:p w14:paraId="0C3EAF0B">
            <w:pPr>
              <w:pStyle w:val="6"/>
              <w:jc w:val="center"/>
              <w:rPr>
                <w:sz w:val="24"/>
                <w:szCs w:val="24"/>
              </w:rPr>
            </w:pPr>
          </w:p>
        </w:tc>
      </w:tr>
      <w:tr w14:paraId="23E27E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2" w:hRule="atLeast"/>
          <w:jc w:val="center"/>
        </w:trPr>
        <w:tc>
          <w:tcPr>
            <w:tcW w:w="806" w:type="dxa"/>
          </w:tcPr>
          <w:p w14:paraId="7062F1B6">
            <w:pPr>
              <w:pStyle w:val="6"/>
              <w:jc w:val="center"/>
              <w:rPr>
                <w:sz w:val="24"/>
                <w:szCs w:val="24"/>
              </w:rPr>
            </w:pPr>
          </w:p>
        </w:tc>
        <w:tc>
          <w:tcPr>
            <w:tcW w:w="1387" w:type="dxa"/>
          </w:tcPr>
          <w:p w14:paraId="08628089">
            <w:pPr>
              <w:pStyle w:val="6"/>
              <w:jc w:val="center"/>
              <w:rPr>
                <w:sz w:val="24"/>
                <w:szCs w:val="24"/>
              </w:rPr>
            </w:pPr>
          </w:p>
        </w:tc>
        <w:tc>
          <w:tcPr>
            <w:tcW w:w="1913" w:type="dxa"/>
          </w:tcPr>
          <w:p w14:paraId="2B047814">
            <w:pPr>
              <w:pStyle w:val="6"/>
              <w:jc w:val="center"/>
              <w:rPr>
                <w:sz w:val="24"/>
                <w:szCs w:val="24"/>
              </w:rPr>
            </w:pPr>
          </w:p>
        </w:tc>
        <w:tc>
          <w:tcPr>
            <w:tcW w:w="1199" w:type="dxa"/>
          </w:tcPr>
          <w:p w14:paraId="6BD9ED73">
            <w:pPr>
              <w:pStyle w:val="6"/>
              <w:jc w:val="center"/>
              <w:rPr>
                <w:sz w:val="24"/>
                <w:szCs w:val="24"/>
              </w:rPr>
            </w:pPr>
          </w:p>
        </w:tc>
        <w:tc>
          <w:tcPr>
            <w:tcW w:w="1295" w:type="dxa"/>
          </w:tcPr>
          <w:p w14:paraId="0B2CC433">
            <w:pPr>
              <w:pStyle w:val="6"/>
              <w:jc w:val="center"/>
              <w:rPr>
                <w:sz w:val="24"/>
                <w:szCs w:val="24"/>
              </w:rPr>
            </w:pPr>
          </w:p>
        </w:tc>
        <w:tc>
          <w:tcPr>
            <w:tcW w:w="1360" w:type="dxa"/>
          </w:tcPr>
          <w:p w14:paraId="5D2BA18E">
            <w:pPr>
              <w:pStyle w:val="6"/>
              <w:jc w:val="center"/>
              <w:rPr>
                <w:sz w:val="24"/>
                <w:szCs w:val="24"/>
              </w:rPr>
            </w:pPr>
          </w:p>
        </w:tc>
        <w:tc>
          <w:tcPr>
            <w:tcW w:w="1328" w:type="dxa"/>
          </w:tcPr>
          <w:p w14:paraId="05ADACED">
            <w:pPr>
              <w:pStyle w:val="6"/>
              <w:jc w:val="center"/>
              <w:rPr>
                <w:sz w:val="24"/>
                <w:szCs w:val="24"/>
              </w:rPr>
            </w:pPr>
          </w:p>
        </w:tc>
      </w:tr>
    </w:tbl>
    <w:p w14:paraId="2AFDB5C6">
      <w:pPr>
        <w:pStyle w:val="19"/>
        <w:spacing w:line="360" w:lineRule="auto"/>
        <w:ind w:left="1200" w:firstLine="0" w:firstLineChars="0"/>
        <w:jc w:val="left"/>
        <w:rPr>
          <w:sz w:val="24"/>
          <w:szCs w:val="24"/>
        </w:rPr>
      </w:pPr>
    </w:p>
    <w:p w14:paraId="69202F42">
      <w:pPr>
        <w:pStyle w:val="19"/>
        <w:spacing w:line="360" w:lineRule="auto"/>
        <w:ind w:left="1200" w:firstLine="0" w:firstLineChars="0"/>
        <w:jc w:val="left"/>
        <w:rPr>
          <w:sz w:val="24"/>
          <w:szCs w:val="24"/>
        </w:rPr>
      </w:pPr>
    </w:p>
    <w:p w14:paraId="5DDA8DA7">
      <w:pPr>
        <w:pStyle w:val="6"/>
      </w:pPr>
    </w:p>
    <w:p w14:paraId="6E17E2C6">
      <w:pPr>
        <w:widowControl/>
        <w:jc w:val="left"/>
        <w:rPr>
          <w:b/>
          <w:bCs/>
          <w:sz w:val="28"/>
          <w:szCs w:val="32"/>
        </w:rPr>
      </w:pPr>
      <w:r>
        <w:br w:type="page"/>
      </w:r>
    </w:p>
    <w:p w14:paraId="349BD741">
      <w:pPr>
        <w:pStyle w:val="4"/>
        <w:rPr>
          <w:rFonts w:hint="eastAsia" w:eastAsiaTheme="minorEastAsia"/>
          <w:lang w:eastAsia="zh-CN"/>
        </w:rPr>
      </w:pPr>
      <w:r>
        <w:rPr>
          <w:rFonts w:hint="eastAsia"/>
        </w:rPr>
        <w:t>4、</w:t>
      </w:r>
      <w:r>
        <w:rPr>
          <w:rFonts w:hint="eastAsia"/>
          <w:lang w:eastAsia="zh-CN"/>
        </w:rPr>
        <w:t>该设备具体</w:t>
      </w:r>
      <w:r>
        <w:rPr>
          <w:rFonts w:hint="eastAsia"/>
        </w:rPr>
        <w:t>技术参数</w:t>
      </w:r>
      <w:r>
        <w:rPr>
          <w:rFonts w:hint="eastAsia"/>
          <w:lang w:eastAsia="zh-CN"/>
        </w:rPr>
        <w:t>配置偏离表</w:t>
      </w:r>
    </w:p>
    <w:p w14:paraId="2F1BBD04">
      <w:pPr>
        <w:rPr>
          <w:b/>
          <w:bCs/>
          <w:sz w:val="24"/>
          <w:szCs w:val="24"/>
        </w:rPr>
      </w:pPr>
      <w:r>
        <w:rPr>
          <w:rFonts w:hint="eastAsia"/>
          <w:b/>
          <w:bCs/>
          <w:sz w:val="24"/>
          <w:szCs w:val="24"/>
        </w:rPr>
        <w:t>例：</w:t>
      </w:r>
    </w:p>
    <w:tbl>
      <w:tblPr>
        <w:tblStyle w:val="12"/>
        <w:tblW w:w="9317" w:type="dxa"/>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2817"/>
        <w:gridCol w:w="2790"/>
        <w:gridCol w:w="1855"/>
        <w:gridCol w:w="1855"/>
      </w:tblGrid>
      <w:tr w14:paraId="785E279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2817" w:type="dxa"/>
            <w:tcBorders>
              <w:left w:val="single" w:color="auto" w:sz="4" w:space="0"/>
            </w:tcBorders>
            <w:vAlign w:val="center"/>
          </w:tcPr>
          <w:p w14:paraId="0AB37DB0">
            <w:pPr>
              <w:pStyle w:val="7"/>
              <w:spacing w:line="520" w:lineRule="exact"/>
              <w:ind w:firstLine="0" w:firstLineChars="0"/>
              <w:jc w:val="center"/>
              <w:rPr>
                <w:rFonts w:hint="eastAsia" w:ascii="宋体" w:hAnsi="宋体" w:eastAsia="宋体" w:cs="宋体"/>
                <w:color w:val="auto"/>
                <w:kern w:val="2"/>
                <w:sz w:val="21"/>
                <w:szCs w:val="21"/>
                <w:highlight w:val="none"/>
                <w:lang w:eastAsia="zh-CN"/>
              </w:rPr>
            </w:pPr>
            <w:r>
              <w:rPr>
                <w:rFonts w:hint="eastAsia" w:ascii="宋体" w:hAnsi="宋体" w:eastAsia="宋体" w:cs="宋体"/>
                <w:color w:val="auto"/>
                <w:kern w:val="2"/>
                <w:sz w:val="21"/>
                <w:szCs w:val="21"/>
                <w:highlight w:val="none"/>
                <w:lang w:eastAsia="zh-CN"/>
              </w:rPr>
              <w:t>技术参数要求</w:t>
            </w:r>
          </w:p>
        </w:tc>
        <w:tc>
          <w:tcPr>
            <w:tcW w:w="2790" w:type="dxa"/>
            <w:vAlign w:val="center"/>
          </w:tcPr>
          <w:p w14:paraId="4DDBC534">
            <w:pPr>
              <w:pStyle w:val="7"/>
              <w:spacing w:line="520" w:lineRule="exact"/>
              <w:ind w:firstLine="0" w:firstLineChars="0"/>
              <w:jc w:val="center"/>
              <w:rPr>
                <w:rFonts w:hint="default" w:ascii="宋体" w:hAnsi="宋体" w:eastAsia="宋体" w:cs="宋体"/>
                <w:color w:val="auto"/>
                <w:kern w:val="2"/>
                <w:sz w:val="21"/>
                <w:szCs w:val="21"/>
                <w:highlight w:val="none"/>
                <w:lang w:val="en-US" w:eastAsia="zh-CN"/>
              </w:rPr>
            </w:pPr>
            <w:r>
              <w:rPr>
                <w:rFonts w:hint="eastAsia" w:ascii="宋体" w:hAnsi="宋体" w:eastAsia="宋体" w:cs="宋体"/>
                <w:color w:val="auto"/>
                <w:kern w:val="2"/>
                <w:sz w:val="21"/>
                <w:szCs w:val="21"/>
                <w:highlight w:val="none"/>
                <w:lang w:eastAsia="zh-CN"/>
              </w:rPr>
              <w:t>产品具体技术参数及配置</w:t>
            </w:r>
          </w:p>
        </w:tc>
        <w:tc>
          <w:tcPr>
            <w:tcW w:w="1855" w:type="dxa"/>
            <w:vAlign w:val="center"/>
          </w:tcPr>
          <w:p w14:paraId="507D62C4">
            <w:pPr>
              <w:pStyle w:val="7"/>
              <w:spacing w:line="520" w:lineRule="exact"/>
              <w:ind w:firstLine="0" w:firstLineChars="0"/>
              <w:jc w:val="center"/>
              <w:rPr>
                <w:rFonts w:hint="default" w:ascii="宋体" w:hAnsi="宋体" w:eastAsia="宋体" w:cs="宋体"/>
                <w:color w:val="auto"/>
                <w:kern w:val="2"/>
                <w:sz w:val="21"/>
                <w:szCs w:val="21"/>
                <w:highlight w:val="none"/>
                <w:lang w:val="en-US" w:eastAsia="zh-CN"/>
              </w:rPr>
            </w:pPr>
            <w:r>
              <w:rPr>
                <w:rFonts w:hint="eastAsia" w:ascii="宋体" w:hAnsi="宋体" w:eastAsia="宋体" w:cs="宋体"/>
                <w:color w:val="auto"/>
                <w:kern w:val="2"/>
                <w:sz w:val="21"/>
                <w:szCs w:val="21"/>
                <w:highlight w:val="none"/>
                <w:lang w:val="en-US" w:eastAsia="zh-CN"/>
              </w:rPr>
              <w:t>是否偏离</w:t>
            </w:r>
          </w:p>
        </w:tc>
        <w:tc>
          <w:tcPr>
            <w:tcW w:w="1855" w:type="dxa"/>
            <w:vAlign w:val="center"/>
          </w:tcPr>
          <w:p w14:paraId="15C9F476">
            <w:pPr>
              <w:pStyle w:val="7"/>
              <w:spacing w:line="520" w:lineRule="exact"/>
              <w:ind w:firstLine="0" w:firstLineChars="0"/>
              <w:jc w:val="center"/>
              <w:rPr>
                <w:rFonts w:hint="eastAsia" w:ascii="宋体" w:hAnsi="宋体" w:eastAsia="宋体" w:cs="宋体"/>
                <w:color w:val="auto"/>
                <w:kern w:val="2"/>
                <w:sz w:val="21"/>
                <w:szCs w:val="21"/>
                <w:highlight w:val="none"/>
                <w:lang w:val="en-US" w:eastAsia="zh-CN"/>
              </w:rPr>
            </w:pPr>
            <w:r>
              <w:rPr>
                <w:rFonts w:hint="eastAsia" w:ascii="宋体" w:hAnsi="宋体" w:eastAsia="宋体" w:cs="宋体"/>
                <w:color w:val="auto"/>
                <w:kern w:val="2"/>
                <w:sz w:val="21"/>
                <w:szCs w:val="21"/>
                <w:highlight w:val="none"/>
                <w:lang w:val="en-US" w:eastAsia="zh-CN"/>
              </w:rPr>
              <w:t>备注</w:t>
            </w:r>
          </w:p>
        </w:tc>
      </w:tr>
      <w:tr w14:paraId="047DB5B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2817" w:type="dxa"/>
            <w:tcBorders>
              <w:left w:val="single" w:color="auto" w:sz="4" w:space="0"/>
            </w:tcBorders>
            <w:vAlign w:val="top"/>
          </w:tcPr>
          <w:p w14:paraId="55ECE8F6">
            <w:pPr>
              <w:pStyle w:val="7"/>
              <w:spacing w:line="520" w:lineRule="exact"/>
              <w:ind w:firstLine="0" w:firstLineChars="0"/>
              <w:jc w:val="both"/>
              <w:rPr>
                <w:rFonts w:ascii="宋体" w:hAnsi="宋体" w:eastAsia="宋体" w:cs="宋体"/>
                <w:color w:val="auto"/>
                <w:kern w:val="2"/>
                <w:sz w:val="21"/>
                <w:szCs w:val="21"/>
                <w:highlight w:val="none"/>
              </w:rPr>
            </w:pPr>
          </w:p>
        </w:tc>
        <w:tc>
          <w:tcPr>
            <w:tcW w:w="2790" w:type="dxa"/>
            <w:vAlign w:val="top"/>
          </w:tcPr>
          <w:p w14:paraId="732044AC">
            <w:pPr>
              <w:pStyle w:val="7"/>
              <w:spacing w:line="520" w:lineRule="exact"/>
              <w:ind w:firstLine="0" w:firstLineChars="0"/>
              <w:jc w:val="both"/>
              <w:rPr>
                <w:rFonts w:ascii="宋体" w:hAnsi="宋体" w:eastAsia="宋体" w:cs="宋体"/>
                <w:color w:val="auto"/>
                <w:kern w:val="2"/>
                <w:sz w:val="21"/>
                <w:szCs w:val="21"/>
                <w:highlight w:val="none"/>
              </w:rPr>
            </w:pPr>
          </w:p>
        </w:tc>
        <w:tc>
          <w:tcPr>
            <w:tcW w:w="1855" w:type="dxa"/>
            <w:vAlign w:val="top"/>
          </w:tcPr>
          <w:p w14:paraId="25EC6D07">
            <w:pPr>
              <w:spacing w:line="520" w:lineRule="exact"/>
              <w:ind w:firstLine="0" w:firstLineChars="0"/>
              <w:jc w:val="both"/>
              <w:rPr>
                <w:rFonts w:ascii="宋体" w:hAnsi="宋体" w:eastAsia="宋体" w:cs="宋体"/>
                <w:color w:val="auto"/>
                <w:kern w:val="2"/>
                <w:sz w:val="21"/>
                <w:szCs w:val="21"/>
                <w:highlight w:val="none"/>
              </w:rPr>
            </w:pPr>
          </w:p>
        </w:tc>
        <w:tc>
          <w:tcPr>
            <w:tcW w:w="1855" w:type="dxa"/>
            <w:vAlign w:val="top"/>
          </w:tcPr>
          <w:p w14:paraId="06E8161F">
            <w:pPr>
              <w:spacing w:line="520" w:lineRule="exact"/>
              <w:ind w:firstLine="0" w:firstLineChars="0"/>
              <w:jc w:val="both"/>
              <w:rPr>
                <w:rFonts w:ascii="宋体" w:hAnsi="宋体" w:eastAsia="宋体" w:cs="宋体"/>
                <w:color w:val="auto"/>
                <w:kern w:val="2"/>
                <w:sz w:val="21"/>
                <w:szCs w:val="21"/>
                <w:highlight w:val="none"/>
              </w:rPr>
            </w:pPr>
          </w:p>
        </w:tc>
      </w:tr>
      <w:tr w14:paraId="3A720BC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2817" w:type="dxa"/>
            <w:tcBorders>
              <w:left w:val="single" w:color="auto" w:sz="4" w:space="0"/>
            </w:tcBorders>
            <w:vAlign w:val="top"/>
          </w:tcPr>
          <w:p w14:paraId="74DCCCF0">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color w:val="auto"/>
                <w:kern w:val="2"/>
                <w:sz w:val="21"/>
                <w:szCs w:val="21"/>
                <w:highlight w:val="none"/>
              </w:rPr>
            </w:pPr>
          </w:p>
        </w:tc>
        <w:tc>
          <w:tcPr>
            <w:tcW w:w="2790" w:type="dxa"/>
            <w:vAlign w:val="top"/>
          </w:tcPr>
          <w:p w14:paraId="1147FD7A">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color w:val="auto"/>
                <w:kern w:val="2"/>
                <w:sz w:val="21"/>
                <w:szCs w:val="21"/>
                <w:highlight w:val="none"/>
              </w:rPr>
            </w:pPr>
          </w:p>
        </w:tc>
        <w:tc>
          <w:tcPr>
            <w:tcW w:w="1855" w:type="dxa"/>
            <w:vAlign w:val="top"/>
          </w:tcPr>
          <w:p w14:paraId="19DD823E">
            <w:pPr>
              <w:spacing w:line="520" w:lineRule="exact"/>
              <w:ind w:firstLine="0" w:firstLineChars="0"/>
              <w:jc w:val="both"/>
              <w:rPr>
                <w:rFonts w:ascii="宋体" w:hAnsi="宋体" w:eastAsia="宋体" w:cs="宋体"/>
                <w:color w:val="auto"/>
                <w:kern w:val="2"/>
                <w:sz w:val="21"/>
                <w:szCs w:val="21"/>
                <w:highlight w:val="none"/>
              </w:rPr>
            </w:pPr>
          </w:p>
        </w:tc>
        <w:tc>
          <w:tcPr>
            <w:tcW w:w="1855" w:type="dxa"/>
            <w:vAlign w:val="top"/>
          </w:tcPr>
          <w:p w14:paraId="38F2EDCE">
            <w:pPr>
              <w:spacing w:line="520" w:lineRule="exact"/>
              <w:ind w:firstLine="0" w:firstLineChars="0"/>
              <w:jc w:val="both"/>
              <w:rPr>
                <w:rFonts w:ascii="宋体" w:hAnsi="宋体" w:eastAsia="宋体" w:cs="宋体"/>
                <w:color w:val="auto"/>
                <w:kern w:val="2"/>
                <w:sz w:val="21"/>
                <w:szCs w:val="21"/>
                <w:highlight w:val="none"/>
              </w:rPr>
            </w:pPr>
          </w:p>
        </w:tc>
      </w:tr>
      <w:tr w14:paraId="2526894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2817" w:type="dxa"/>
            <w:tcBorders>
              <w:left w:val="single" w:color="auto" w:sz="4" w:space="0"/>
            </w:tcBorders>
            <w:vAlign w:val="top"/>
          </w:tcPr>
          <w:p w14:paraId="09EBC9F6">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color w:val="auto"/>
                <w:kern w:val="2"/>
                <w:sz w:val="21"/>
                <w:szCs w:val="21"/>
                <w:highlight w:val="none"/>
              </w:rPr>
            </w:pPr>
          </w:p>
        </w:tc>
        <w:tc>
          <w:tcPr>
            <w:tcW w:w="2790" w:type="dxa"/>
            <w:vAlign w:val="top"/>
          </w:tcPr>
          <w:p w14:paraId="37926DE5">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color w:val="auto"/>
                <w:kern w:val="2"/>
                <w:sz w:val="21"/>
                <w:szCs w:val="21"/>
                <w:highlight w:val="none"/>
              </w:rPr>
            </w:pPr>
          </w:p>
        </w:tc>
        <w:tc>
          <w:tcPr>
            <w:tcW w:w="1855" w:type="dxa"/>
            <w:vAlign w:val="top"/>
          </w:tcPr>
          <w:p w14:paraId="6AB0313D">
            <w:pPr>
              <w:spacing w:line="520" w:lineRule="exact"/>
              <w:ind w:firstLine="0" w:firstLineChars="0"/>
              <w:jc w:val="both"/>
              <w:rPr>
                <w:rFonts w:ascii="宋体" w:hAnsi="宋体" w:eastAsia="宋体" w:cs="宋体"/>
                <w:color w:val="auto"/>
                <w:kern w:val="2"/>
                <w:sz w:val="21"/>
                <w:szCs w:val="21"/>
                <w:highlight w:val="none"/>
              </w:rPr>
            </w:pPr>
          </w:p>
        </w:tc>
        <w:tc>
          <w:tcPr>
            <w:tcW w:w="1855" w:type="dxa"/>
            <w:vAlign w:val="top"/>
          </w:tcPr>
          <w:p w14:paraId="0A0C657D">
            <w:pPr>
              <w:spacing w:line="520" w:lineRule="exact"/>
              <w:ind w:firstLine="0" w:firstLineChars="0"/>
              <w:jc w:val="both"/>
              <w:rPr>
                <w:rFonts w:ascii="宋体" w:hAnsi="宋体" w:eastAsia="宋体" w:cs="宋体"/>
                <w:color w:val="auto"/>
                <w:kern w:val="2"/>
                <w:sz w:val="21"/>
                <w:szCs w:val="21"/>
                <w:highlight w:val="none"/>
              </w:rPr>
            </w:pPr>
          </w:p>
        </w:tc>
      </w:tr>
      <w:tr w14:paraId="05C1782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2817" w:type="dxa"/>
            <w:tcBorders>
              <w:left w:val="single" w:color="auto" w:sz="4" w:space="0"/>
            </w:tcBorders>
            <w:vAlign w:val="top"/>
          </w:tcPr>
          <w:p w14:paraId="57996157">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color w:val="auto"/>
                <w:kern w:val="2"/>
                <w:sz w:val="21"/>
                <w:szCs w:val="21"/>
                <w:highlight w:val="none"/>
              </w:rPr>
            </w:pPr>
          </w:p>
        </w:tc>
        <w:tc>
          <w:tcPr>
            <w:tcW w:w="2790" w:type="dxa"/>
            <w:vAlign w:val="top"/>
          </w:tcPr>
          <w:p w14:paraId="117B4D9E">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color w:val="auto"/>
                <w:kern w:val="2"/>
                <w:sz w:val="21"/>
                <w:szCs w:val="21"/>
                <w:highlight w:val="none"/>
              </w:rPr>
            </w:pPr>
          </w:p>
        </w:tc>
        <w:tc>
          <w:tcPr>
            <w:tcW w:w="1855" w:type="dxa"/>
            <w:vAlign w:val="top"/>
          </w:tcPr>
          <w:p w14:paraId="3382A5EE">
            <w:pPr>
              <w:spacing w:line="520" w:lineRule="exact"/>
              <w:ind w:firstLine="0" w:firstLineChars="0"/>
              <w:jc w:val="both"/>
              <w:rPr>
                <w:rFonts w:ascii="宋体" w:hAnsi="宋体" w:eastAsia="宋体" w:cs="宋体"/>
                <w:color w:val="auto"/>
                <w:kern w:val="2"/>
                <w:sz w:val="21"/>
                <w:szCs w:val="21"/>
                <w:highlight w:val="none"/>
              </w:rPr>
            </w:pPr>
          </w:p>
        </w:tc>
        <w:tc>
          <w:tcPr>
            <w:tcW w:w="1855" w:type="dxa"/>
            <w:vAlign w:val="top"/>
          </w:tcPr>
          <w:p w14:paraId="35784C5D">
            <w:pPr>
              <w:spacing w:line="520" w:lineRule="exact"/>
              <w:ind w:firstLine="0" w:firstLineChars="0"/>
              <w:jc w:val="both"/>
              <w:rPr>
                <w:rFonts w:ascii="宋体" w:hAnsi="宋体" w:eastAsia="宋体" w:cs="宋体"/>
                <w:color w:val="auto"/>
                <w:kern w:val="2"/>
                <w:sz w:val="21"/>
                <w:szCs w:val="21"/>
                <w:highlight w:val="none"/>
              </w:rPr>
            </w:pPr>
          </w:p>
        </w:tc>
      </w:tr>
    </w:tbl>
    <w:p w14:paraId="578B895C">
      <w:pPr>
        <w:spacing w:before="156" w:beforeLines="50" w:line="360" w:lineRule="auto"/>
        <w:ind w:firstLine="482" w:firstLineChars="200"/>
        <w:jc w:val="left"/>
        <w:rPr>
          <w:rFonts w:hint="default" w:eastAsiaTheme="minorEastAsia"/>
          <w:b/>
          <w:bCs/>
          <w:sz w:val="24"/>
          <w:szCs w:val="24"/>
          <w:lang w:val="en-US" w:eastAsia="zh-CN"/>
        </w:rPr>
      </w:pPr>
      <w:r>
        <w:rPr>
          <w:rFonts w:hint="eastAsia"/>
          <w:b/>
          <w:bCs/>
          <w:color w:val="FF0000"/>
          <w:sz w:val="24"/>
          <w:szCs w:val="24"/>
        </w:rPr>
        <w:t>如有标星号的参数，须列举三家能满足的品牌及型号，没有其他品牌型号能满足的参数必须特别标明；</w:t>
      </w:r>
      <w:r>
        <w:rPr>
          <w:rFonts w:hint="eastAsia"/>
          <w:b/>
          <w:bCs/>
          <w:color w:val="FF0000"/>
          <w:sz w:val="24"/>
          <w:szCs w:val="24"/>
          <w:lang w:eastAsia="zh-CN"/>
        </w:rPr>
        <w:t>表中产品参数不可复制粘贴，所提供的品牌参数至少满足不低于</w:t>
      </w:r>
      <w:r>
        <w:rPr>
          <w:rFonts w:hint="eastAsia"/>
          <w:b/>
          <w:bCs/>
          <w:color w:val="FF0000"/>
          <w:sz w:val="24"/>
          <w:szCs w:val="24"/>
          <w:lang w:val="en-US" w:eastAsia="zh-CN"/>
        </w:rPr>
        <w:t>80%的参数无偏离或正偏离。</w:t>
      </w:r>
    </w:p>
    <w:p w14:paraId="459DDA17">
      <w:pPr>
        <w:spacing w:before="156" w:beforeLines="50" w:line="360" w:lineRule="auto"/>
        <w:ind w:firstLine="482" w:firstLineChars="200"/>
        <w:jc w:val="left"/>
        <w:rPr>
          <w:b/>
          <w:bCs/>
          <w:sz w:val="24"/>
          <w:szCs w:val="24"/>
        </w:rPr>
      </w:pPr>
      <w:r>
        <w:rPr>
          <w:rFonts w:hint="eastAsia"/>
          <w:b/>
          <w:bCs/>
          <w:sz w:val="24"/>
          <w:szCs w:val="24"/>
        </w:rPr>
        <w:t>（注：以上表格为例表，供应商根据项目特点自行修改）</w:t>
      </w:r>
    </w:p>
    <w:p w14:paraId="35F6C581">
      <w:pPr>
        <w:widowControl/>
        <w:jc w:val="left"/>
        <w:rPr>
          <w:szCs w:val="20"/>
        </w:rPr>
      </w:pPr>
      <w:r>
        <w:br w:type="page"/>
      </w:r>
    </w:p>
    <w:p w14:paraId="2FE15ECE">
      <w:pPr>
        <w:pStyle w:val="4"/>
      </w:pPr>
      <w:bookmarkStart w:id="3" w:name="_Toc9268"/>
      <w:r>
        <w:rPr>
          <w:rFonts w:hint="eastAsia"/>
        </w:rPr>
        <w:t>5、商务建议文件</w:t>
      </w:r>
      <w:bookmarkEnd w:id="3"/>
    </w:p>
    <w:p w14:paraId="323A30B5">
      <w:pPr>
        <w:spacing w:line="360" w:lineRule="auto"/>
        <w:ind w:firstLine="480" w:firstLineChars="200"/>
        <w:jc w:val="left"/>
        <w:rPr>
          <w:b/>
          <w:bCs/>
          <w:sz w:val="24"/>
          <w:szCs w:val="24"/>
        </w:rPr>
      </w:pPr>
      <w:r>
        <w:rPr>
          <w:rFonts w:hint="eastAsia"/>
          <w:sz w:val="24"/>
          <w:szCs w:val="24"/>
        </w:rPr>
        <w:t>供应商可根据附件所列商务要求提出本行业通行或对有利于项目开展的商务建议，格式自拟。</w:t>
      </w:r>
    </w:p>
    <w:p w14:paraId="5955597A">
      <w:pPr>
        <w:widowControl/>
        <w:jc w:val="left"/>
        <w:rPr>
          <w:szCs w:val="20"/>
        </w:rPr>
      </w:pPr>
    </w:p>
    <w:p w14:paraId="6115AD51">
      <w:pPr>
        <w:widowControl/>
        <w:jc w:val="left"/>
        <w:rPr>
          <w:b/>
          <w:bCs/>
          <w:sz w:val="32"/>
          <w:szCs w:val="32"/>
        </w:rPr>
      </w:pPr>
      <w:r>
        <w:br w:type="page"/>
      </w:r>
    </w:p>
    <w:p w14:paraId="67B8D4A1">
      <w:pPr>
        <w:pStyle w:val="4"/>
      </w:pPr>
      <w:r>
        <w:rPr>
          <w:rFonts w:hint="eastAsia"/>
        </w:rPr>
        <w:t>6、</w:t>
      </w:r>
      <w:bookmarkStart w:id="4" w:name="_Toc37256575"/>
      <w:bookmarkStart w:id="5" w:name="_Toc5245"/>
      <w:r>
        <w:rPr>
          <w:rFonts w:hint="eastAsia"/>
        </w:rPr>
        <w:t>报价一览表</w:t>
      </w:r>
      <w:bookmarkEnd w:id="2"/>
      <w:bookmarkEnd w:id="4"/>
      <w:bookmarkEnd w:id="5"/>
    </w:p>
    <w:tbl>
      <w:tblPr>
        <w:tblStyle w:val="12"/>
        <w:tblW w:w="9677" w:type="dxa"/>
        <w:tblInd w:w="-23" w:type="dxa"/>
        <w:tblLayout w:type="fixed"/>
        <w:tblCellMar>
          <w:top w:w="15" w:type="dxa"/>
          <w:left w:w="15" w:type="dxa"/>
          <w:bottom w:w="15" w:type="dxa"/>
          <w:right w:w="15" w:type="dxa"/>
        </w:tblCellMar>
      </w:tblPr>
      <w:tblGrid>
        <w:gridCol w:w="636"/>
        <w:gridCol w:w="1796"/>
        <w:gridCol w:w="808"/>
        <w:gridCol w:w="1175"/>
        <w:gridCol w:w="2220"/>
        <w:gridCol w:w="1690"/>
        <w:gridCol w:w="1352"/>
      </w:tblGrid>
      <w:tr w14:paraId="47977E4E">
        <w:tblPrEx>
          <w:tblCellMar>
            <w:top w:w="15" w:type="dxa"/>
            <w:left w:w="15" w:type="dxa"/>
            <w:bottom w:w="15" w:type="dxa"/>
            <w:right w:w="15" w:type="dxa"/>
          </w:tblCellMar>
        </w:tblPrEx>
        <w:trPr>
          <w:trHeight w:val="1475" w:hRule="atLeast"/>
        </w:trPr>
        <w:tc>
          <w:tcPr>
            <w:tcW w:w="636" w:type="dxa"/>
            <w:tcBorders>
              <w:top w:val="single" w:color="000000" w:sz="4" w:space="0"/>
              <w:left w:val="single" w:color="000000" w:sz="4" w:space="0"/>
              <w:bottom w:val="single" w:color="000000" w:sz="4" w:space="0"/>
              <w:right w:val="single" w:color="000000" w:sz="4" w:space="0"/>
            </w:tcBorders>
            <w:vAlign w:val="center"/>
          </w:tcPr>
          <w:p w14:paraId="15A69F39">
            <w:pPr>
              <w:jc w:val="center"/>
              <w:textAlignment w:val="center"/>
              <w:rPr>
                <w:rFonts w:hAnsi="宋体"/>
                <w:b/>
                <w:bCs/>
                <w:sz w:val="24"/>
                <w:szCs w:val="24"/>
              </w:rPr>
            </w:pPr>
            <w:r>
              <w:rPr>
                <w:rFonts w:hint="eastAsia" w:hAnsi="宋体"/>
                <w:b/>
                <w:bCs/>
                <w:sz w:val="24"/>
                <w:szCs w:val="24"/>
              </w:rPr>
              <w:t>序号</w:t>
            </w:r>
          </w:p>
        </w:tc>
        <w:tc>
          <w:tcPr>
            <w:tcW w:w="1796" w:type="dxa"/>
            <w:tcBorders>
              <w:top w:val="single" w:color="000000" w:sz="4" w:space="0"/>
              <w:left w:val="single" w:color="000000" w:sz="4" w:space="0"/>
              <w:bottom w:val="single" w:color="000000" w:sz="4" w:space="0"/>
              <w:right w:val="single" w:color="000000" w:sz="4" w:space="0"/>
            </w:tcBorders>
            <w:vAlign w:val="center"/>
          </w:tcPr>
          <w:p w14:paraId="58BC1EBD">
            <w:pPr>
              <w:jc w:val="center"/>
              <w:textAlignment w:val="center"/>
              <w:rPr>
                <w:rFonts w:hAnsi="宋体"/>
                <w:b/>
                <w:bCs/>
                <w:sz w:val="24"/>
                <w:szCs w:val="24"/>
              </w:rPr>
            </w:pPr>
            <w:r>
              <w:rPr>
                <w:rFonts w:hint="eastAsia" w:hAnsi="宋体"/>
                <w:b/>
                <w:bCs/>
                <w:sz w:val="24"/>
                <w:szCs w:val="24"/>
              </w:rPr>
              <w:t>设备名称</w:t>
            </w:r>
          </w:p>
        </w:tc>
        <w:tc>
          <w:tcPr>
            <w:tcW w:w="808" w:type="dxa"/>
            <w:tcBorders>
              <w:top w:val="single" w:color="000000" w:sz="4" w:space="0"/>
              <w:left w:val="single" w:color="000000" w:sz="4" w:space="0"/>
              <w:bottom w:val="single" w:color="000000" w:sz="4" w:space="0"/>
              <w:right w:val="single" w:color="000000" w:sz="4" w:space="0"/>
            </w:tcBorders>
            <w:vAlign w:val="center"/>
          </w:tcPr>
          <w:p w14:paraId="653572D6">
            <w:pPr>
              <w:spacing w:line="500" w:lineRule="exact"/>
              <w:jc w:val="center"/>
              <w:rPr>
                <w:rFonts w:hAnsi="宋体"/>
                <w:b/>
                <w:bCs/>
                <w:sz w:val="24"/>
                <w:szCs w:val="24"/>
              </w:rPr>
            </w:pPr>
            <w:r>
              <w:rPr>
                <w:rFonts w:hint="eastAsia" w:hAnsi="宋体"/>
                <w:b/>
                <w:bCs/>
                <w:sz w:val="24"/>
                <w:szCs w:val="24"/>
              </w:rPr>
              <w:t>数量</w:t>
            </w:r>
          </w:p>
        </w:tc>
        <w:tc>
          <w:tcPr>
            <w:tcW w:w="1175" w:type="dxa"/>
            <w:tcBorders>
              <w:top w:val="single" w:color="000000" w:sz="4" w:space="0"/>
              <w:left w:val="single" w:color="000000" w:sz="4" w:space="0"/>
              <w:bottom w:val="single" w:color="000000" w:sz="4" w:space="0"/>
              <w:right w:val="single" w:color="000000" w:sz="4" w:space="0"/>
            </w:tcBorders>
            <w:vAlign w:val="center"/>
          </w:tcPr>
          <w:p w14:paraId="21CCB4B1">
            <w:pPr>
              <w:spacing w:line="500" w:lineRule="exact"/>
              <w:jc w:val="center"/>
              <w:rPr>
                <w:rFonts w:hAnsi="宋体"/>
                <w:b/>
                <w:bCs/>
                <w:sz w:val="24"/>
                <w:szCs w:val="24"/>
              </w:rPr>
            </w:pPr>
            <w:r>
              <w:rPr>
                <w:rFonts w:hint="eastAsia" w:hAnsi="宋体"/>
                <w:b/>
                <w:bCs/>
                <w:sz w:val="24"/>
                <w:szCs w:val="24"/>
              </w:rPr>
              <w:t>品牌</w:t>
            </w:r>
          </w:p>
        </w:tc>
        <w:tc>
          <w:tcPr>
            <w:tcW w:w="2220" w:type="dxa"/>
            <w:tcBorders>
              <w:top w:val="single" w:color="000000" w:sz="4" w:space="0"/>
              <w:left w:val="single" w:color="000000" w:sz="4" w:space="0"/>
              <w:bottom w:val="single" w:color="000000" w:sz="4" w:space="0"/>
              <w:right w:val="single" w:color="000000" w:sz="4" w:space="0"/>
            </w:tcBorders>
            <w:vAlign w:val="center"/>
          </w:tcPr>
          <w:p w14:paraId="693B52CF">
            <w:pPr>
              <w:spacing w:line="500" w:lineRule="exact"/>
              <w:jc w:val="center"/>
              <w:rPr>
                <w:b/>
                <w:bCs/>
                <w:sz w:val="24"/>
                <w:szCs w:val="24"/>
              </w:rPr>
            </w:pPr>
            <w:r>
              <w:rPr>
                <w:rFonts w:hint="eastAsia"/>
                <w:b/>
                <w:bCs/>
                <w:sz w:val="24"/>
                <w:szCs w:val="24"/>
              </w:rPr>
              <w:t>规格型号</w:t>
            </w:r>
          </w:p>
        </w:tc>
        <w:tc>
          <w:tcPr>
            <w:tcW w:w="1690" w:type="dxa"/>
            <w:tcBorders>
              <w:top w:val="single" w:color="000000" w:sz="4" w:space="0"/>
              <w:left w:val="single" w:color="000000" w:sz="4" w:space="0"/>
              <w:bottom w:val="single" w:color="000000" w:sz="4" w:space="0"/>
              <w:right w:val="single" w:color="000000" w:sz="4" w:space="0"/>
            </w:tcBorders>
            <w:vAlign w:val="center"/>
          </w:tcPr>
          <w:p w14:paraId="6B7DDCCF">
            <w:pPr>
              <w:spacing w:line="500" w:lineRule="exact"/>
              <w:jc w:val="center"/>
              <w:rPr>
                <w:b/>
                <w:bCs/>
                <w:sz w:val="24"/>
                <w:szCs w:val="24"/>
              </w:rPr>
            </w:pPr>
            <w:r>
              <w:rPr>
                <w:rFonts w:hint="eastAsia"/>
                <w:b/>
                <w:bCs/>
                <w:sz w:val="24"/>
                <w:szCs w:val="24"/>
              </w:rPr>
              <w:t>金额（元）</w:t>
            </w:r>
          </w:p>
        </w:tc>
        <w:tc>
          <w:tcPr>
            <w:tcW w:w="1352" w:type="dxa"/>
            <w:tcBorders>
              <w:top w:val="single" w:color="000000" w:sz="4" w:space="0"/>
              <w:left w:val="single" w:color="000000" w:sz="4" w:space="0"/>
              <w:bottom w:val="single" w:color="000000" w:sz="4" w:space="0"/>
              <w:right w:val="single" w:color="000000" w:sz="4" w:space="0"/>
            </w:tcBorders>
            <w:vAlign w:val="center"/>
          </w:tcPr>
          <w:p w14:paraId="03563A24">
            <w:pPr>
              <w:spacing w:line="500" w:lineRule="exact"/>
              <w:jc w:val="center"/>
              <w:rPr>
                <w:rFonts w:hAnsi="宋体"/>
                <w:b/>
                <w:bCs/>
                <w:sz w:val="24"/>
                <w:szCs w:val="24"/>
              </w:rPr>
            </w:pPr>
            <w:r>
              <w:rPr>
                <w:rFonts w:hint="eastAsia"/>
                <w:b/>
                <w:bCs/>
                <w:sz w:val="24"/>
                <w:szCs w:val="24"/>
              </w:rPr>
              <w:t>备注</w:t>
            </w:r>
          </w:p>
        </w:tc>
      </w:tr>
      <w:tr w14:paraId="2DB662B4">
        <w:tblPrEx>
          <w:tblCellMar>
            <w:top w:w="15" w:type="dxa"/>
            <w:left w:w="15" w:type="dxa"/>
            <w:bottom w:w="15" w:type="dxa"/>
            <w:right w:w="15" w:type="dxa"/>
          </w:tblCellMar>
        </w:tblPrEx>
        <w:trPr>
          <w:trHeight w:val="1355" w:hRule="atLeast"/>
        </w:trPr>
        <w:tc>
          <w:tcPr>
            <w:tcW w:w="636" w:type="dxa"/>
            <w:tcBorders>
              <w:top w:val="single" w:color="000000" w:sz="4" w:space="0"/>
              <w:left w:val="single" w:color="000000" w:sz="4" w:space="0"/>
              <w:bottom w:val="single" w:color="000000" w:sz="4" w:space="0"/>
              <w:right w:val="single" w:color="000000" w:sz="4" w:space="0"/>
            </w:tcBorders>
            <w:vAlign w:val="center"/>
          </w:tcPr>
          <w:p w14:paraId="3DE87CD1">
            <w:pPr>
              <w:jc w:val="center"/>
              <w:rPr>
                <w:rFonts w:ascii="宋体" w:hAnsi="宋体" w:cs="宋体"/>
                <w:sz w:val="24"/>
                <w:szCs w:val="24"/>
              </w:rPr>
            </w:pPr>
            <w:r>
              <w:rPr>
                <w:rFonts w:ascii="宋体" w:hAnsi="宋体"/>
                <w:bCs/>
                <w:sz w:val="24"/>
                <w:szCs w:val="24"/>
              </w:rPr>
              <w:t>1</w:t>
            </w:r>
          </w:p>
        </w:tc>
        <w:tc>
          <w:tcPr>
            <w:tcW w:w="1796" w:type="dxa"/>
            <w:tcBorders>
              <w:top w:val="single" w:color="000000" w:sz="4" w:space="0"/>
              <w:left w:val="single" w:color="000000" w:sz="4" w:space="0"/>
              <w:bottom w:val="single" w:color="000000" w:sz="4" w:space="0"/>
              <w:right w:val="single" w:color="000000" w:sz="4" w:space="0"/>
            </w:tcBorders>
            <w:vAlign w:val="center"/>
          </w:tcPr>
          <w:p w14:paraId="6E2701EF">
            <w:pPr>
              <w:widowControl/>
              <w:jc w:val="center"/>
              <w:rPr>
                <w:rFonts w:ascii="宋体" w:hAnsi="宋体" w:cs="宋体"/>
                <w:sz w:val="24"/>
                <w:szCs w:val="24"/>
              </w:rPr>
            </w:pPr>
          </w:p>
        </w:tc>
        <w:tc>
          <w:tcPr>
            <w:tcW w:w="808" w:type="dxa"/>
            <w:tcBorders>
              <w:top w:val="single" w:color="000000" w:sz="4" w:space="0"/>
              <w:left w:val="single" w:color="000000" w:sz="4" w:space="0"/>
              <w:bottom w:val="single" w:color="000000" w:sz="4" w:space="0"/>
              <w:right w:val="single" w:color="000000" w:sz="4" w:space="0"/>
            </w:tcBorders>
            <w:vAlign w:val="center"/>
          </w:tcPr>
          <w:p w14:paraId="6CBFDB7A">
            <w:pPr>
              <w:jc w:val="center"/>
              <w:textAlignment w:val="center"/>
              <w:rPr>
                <w:rFonts w:hint="eastAsia" w:ascii="宋体" w:hAnsi="宋体" w:cs="宋体" w:eastAsiaTheme="minorEastAsia"/>
                <w:sz w:val="24"/>
                <w:szCs w:val="24"/>
                <w:lang w:eastAsia="zh-CN"/>
              </w:rPr>
            </w:pPr>
          </w:p>
        </w:tc>
        <w:tc>
          <w:tcPr>
            <w:tcW w:w="1175" w:type="dxa"/>
            <w:tcBorders>
              <w:top w:val="single" w:color="000000" w:sz="4" w:space="0"/>
              <w:left w:val="single" w:color="000000" w:sz="4" w:space="0"/>
              <w:bottom w:val="single" w:color="000000" w:sz="4" w:space="0"/>
              <w:right w:val="single" w:color="000000" w:sz="4" w:space="0"/>
            </w:tcBorders>
            <w:vAlign w:val="center"/>
          </w:tcPr>
          <w:p w14:paraId="7CBA92EE">
            <w:pPr>
              <w:jc w:val="center"/>
              <w:textAlignment w:val="center"/>
              <w:rPr>
                <w:rFonts w:ascii="宋体" w:hAnsi="宋体" w:cs="宋体"/>
                <w:sz w:val="24"/>
                <w:szCs w:val="24"/>
              </w:rPr>
            </w:pPr>
          </w:p>
        </w:tc>
        <w:tc>
          <w:tcPr>
            <w:tcW w:w="2220" w:type="dxa"/>
            <w:tcBorders>
              <w:top w:val="single" w:color="000000" w:sz="4" w:space="0"/>
              <w:left w:val="single" w:color="000000" w:sz="4" w:space="0"/>
              <w:bottom w:val="single" w:color="000000" w:sz="4" w:space="0"/>
              <w:right w:val="single" w:color="000000" w:sz="4" w:space="0"/>
            </w:tcBorders>
            <w:vAlign w:val="center"/>
          </w:tcPr>
          <w:p w14:paraId="609B8565">
            <w:pPr>
              <w:jc w:val="center"/>
              <w:textAlignment w:val="center"/>
              <w:rPr>
                <w:rFonts w:ascii="宋体" w:hAnsi="宋体" w:cs="宋体"/>
                <w:sz w:val="24"/>
                <w:szCs w:val="24"/>
              </w:rPr>
            </w:pPr>
          </w:p>
        </w:tc>
        <w:tc>
          <w:tcPr>
            <w:tcW w:w="1690" w:type="dxa"/>
            <w:tcBorders>
              <w:top w:val="single" w:color="000000" w:sz="4" w:space="0"/>
              <w:left w:val="single" w:color="000000" w:sz="4" w:space="0"/>
              <w:bottom w:val="single" w:color="000000" w:sz="4" w:space="0"/>
              <w:right w:val="single" w:color="000000" w:sz="4" w:space="0"/>
            </w:tcBorders>
            <w:vAlign w:val="center"/>
          </w:tcPr>
          <w:p w14:paraId="52DC1E4C">
            <w:pPr>
              <w:jc w:val="center"/>
              <w:textAlignment w:val="center"/>
              <w:rPr>
                <w:rFonts w:ascii="宋体" w:hAnsi="宋体" w:cs="宋体"/>
                <w:sz w:val="24"/>
                <w:szCs w:val="24"/>
              </w:rPr>
            </w:pPr>
          </w:p>
        </w:tc>
        <w:tc>
          <w:tcPr>
            <w:tcW w:w="1352" w:type="dxa"/>
            <w:tcBorders>
              <w:top w:val="single" w:color="000000" w:sz="4" w:space="0"/>
              <w:left w:val="single" w:color="000000" w:sz="4" w:space="0"/>
              <w:bottom w:val="single" w:color="000000" w:sz="4" w:space="0"/>
              <w:right w:val="single" w:color="000000" w:sz="4" w:space="0"/>
            </w:tcBorders>
            <w:vAlign w:val="center"/>
          </w:tcPr>
          <w:p w14:paraId="1B4153A3">
            <w:pPr>
              <w:jc w:val="center"/>
              <w:textAlignment w:val="center"/>
              <w:rPr>
                <w:rFonts w:ascii="宋体" w:hAnsi="宋体" w:cs="宋体"/>
                <w:sz w:val="24"/>
                <w:szCs w:val="24"/>
              </w:rPr>
            </w:pPr>
          </w:p>
        </w:tc>
      </w:tr>
      <w:tr w14:paraId="75988DE6">
        <w:tblPrEx>
          <w:tblCellMar>
            <w:top w:w="15" w:type="dxa"/>
            <w:left w:w="15" w:type="dxa"/>
            <w:bottom w:w="15" w:type="dxa"/>
            <w:right w:w="15" w:type="dxa"/>
          </w:tblCellMar>
        </w:tblPrEx>
        <w:trPr>
          <w:trHeight w:val="1355" w:hRule="atLeast"/>
        </w:trPr>
        <w:tc>
          <w:tcPr>
            <w:tcW w:w="9677" w:type="dxa"/>
            <w:gridSpan w:val="7"/>
            <w:tcBorders>
              <w:top w:val="single" w:color="000000" w:sz="4" w:space="0"/>
              <w:left w:val="single" w:color="000000" w:sz="4" w:space="0"/>
              <w:bottom w:val="single" w:color="000000" w:sz="4" w:space="0"/>
              <w:right w:val="single" w:color="000000" w:sz="4" w:space="0"/>
            </w:tcBorders>
            <w:vAlign w:val="center"/>
          </w:tcPr>
          <w:p w14:paraId="7A760774">
            <w:pPr>
              <w:jc w:val="center"/>
              <w:textAlignment w:val="center"/>
              <w:rPr>
                <w:rFonts w:ascii="宋体" w:hAnsi="宋体" w:cs="宋体"/>
                <w:sz w:val="24"/>
                <w:szCs w:val="24"/>
              </w:rPr>
            </w:pPr>
            <w:r>
              <w:rPr>
                <w:rFonts w:hint="eastAsia" w:ascii="宋体" w:hAnsi="宋体" w:cs="宋体"/>
                <w:sz w:val="24"/>
                <w:szCs w:val="24"/>
              </w:rPr>
              <w:t>合计（元）：                 大写（元）：</w:t>
            </w:r>
          </w:p>
        </w:tc>
      </w:tr>
    </w:tbl>
    <w:p w14:paraId="79BF9DC2"/>
    <w:p w14:paraId="115112DB">
      <w:pPr>
        <w:pStyle w:val="6"/>
      </w:pPr>
    </w:p>
    <w:p w14:paraId="1A3DC288">
      <w:pPr>
        <w:wordWrap w:val="0"/>
        <w:ind w:firstLine="480" w:firstLineChars="200"/>
        <w:rPr>
          <w:color w:val="000000"/>
          <w:sz w:val="24"/>
          <w:szCs w:val="24"/>
        </w:rPr>
      </w:pPr>
      <w:r>
        <w:rPr>
          <w:rFonts w:hint="eastAsia"/>
          <w:color w:val="000000"/>
          <w:sz w:val="24"/>
          <w:szCs w:val="24"/>
        </w:rPr>
        <w:t>注：以上报价应包含本项目所需的一切费用。</w:t>
      </w:r>
    </w:p>
    <w:p w14:paraId="41C0678D">
      <w:pPr>
        <w:rPr>
          <w:rFonts w:ascii="宋体" w:hAnsi="宋体" w:eastAsia="宋体"/>
          <w:sz w:val="24"/>
          <w:szCs w:val="24"/>
        </w:rPr>
      </w:pPr>
    </w:p>
    <w:p w14:paraId="4BFB662C">
      <w:pPr>
        <w:jc w:val="right"/>
        <w:rPr>
          <w:rFonts w:ascii="宋体" w:hAnsi="宋体" w:eastAsia="宋体"/>
          <w:sz w:val="24"/>
          <w:szCs w:val="24"/>
        </w:rPr>
      </w:pPr>
      <w:r>
        <w:rPr>
          <w:rFonts w:hint="eastAsia" w:ascii="宋体" w:hAnsi="宋体" w:eastAsia="宋体"/>
          <w:sz w:val="24"/>
          <w:szCs w:val="24"/>
        </w:rPr>
        <w:t>单位名称：</w:t>
      </w:r>
      <w:r>
        <w:rPr>
          <w:rFonts w:ascii="宋体" w:hAnsi="宋体" w:eastAsia="宋体"/>
          <w:sz w:val="24"/>
          <w:szCs w:val="24"/>
          <w:u w:val="single"/>
        </w:rPr>
        <w:t xml:space="preserve">              </w:t>
      </w:r>
      <w:r>
        <w:rPr>
          <w:rFonts w:hint="eastAsia" w:ascii="宋体" w:hAnsi="宋体" w:eastAsia="宋体"/>
          <w:sz w:val="24"/>
          <w:szCs w:val="24"/>
        </w:rPr>
        <w:t>（单位盖章）</w:t>
      </w:r>
    </w:p>
    <w:p w14:paraId="237EAD05">
      <w:pPr>
        <w:pStyle w:val="6"/>
      </w:pPr>
    </w:p>
    <w:p w14:paraId="14365B7C">
      <w:pPr>
        <w:widowControl/>
        <w:jc w:val="right"/>
        <w:rPr>
          <w:szCs w:val="20"/>
        </w:rPr>
      </w:pPr>
      <w:r>
        <w:rPr>
          <w:rFonts w:hint="eastAsia"/>
          <w:color w:val="000000"/>
          <w:sz w:val="24"/>
          <w:szCs w:val="24"/>
        </w:rPr>
        <w:t>日    期：202</w:t>
      </w:r>
      <w:r>
        <w:rPr>
          <w:rFonts w:hint="eastAsia"/>
          <w:color w:val="000000"/>
          <w:sz w:val="24"/>
          <w:szCs w:val="24"/>
          <w:lang w:val="en-US" w:eastAsia="zh-CN"/>
        </w:rPr>
        <w:t>6</w:t>
      </w:r>
      <w:r>
        <w:rPr>
          <w:rFonts w:hint="eastAsia"/>
          <w:color w:val="000000"/>
          <w:sz w:val="24"/>
          <w:szCs w:val="24"/>
        </w:rPr>
        <w:t xml:space="preserve">年  月 </w:t>
      </w:r>
      <w:r>
        <w:rPr>
          <w:color w:val="000000"/>
          <w:sz w:val="24"/>
          <w:szCs w:val="24"/>
        </w:rPr>
        <w:t xml:space="preserve"> </w:t>
      </w:r>
      <w:r>
        <w:rPr>
          <w:rFonts w:hint="eastAsia"/>
          <w:color w:val="000000"/>
          <w:sz w:val="24"/>
          <w:szCs w:val="24"/>
        </w:rPr>
        <w:t>日</w:t>
      </w:r>
    </w:p>
    <w:p w14:paraId="6958C29E">
      <w:pPr>
        <w:pStyle w:val="6"/>
      </w:pPr>
    </w:p>
    <w:p w14:paraId="6A334546">
      <w:pPr>
        <w:pStyle w:val="6"/>
      </w:pPr>
    </w:p>
    <w:p w14:paraId="2BF12453">
      <w:pPr>
        <w:pStyle w:val="6"/>
      </w:pPr>
    </w:p>
    <w:p w14:paraId="596DA215">
      <w:pPr>
        <w:pStyle w:val="6"/>
      </w:pPr>
    </w:p>
    <w:p w14:paraId="51D4CD71">
      <w:pPr>
        <w:pStyle w:val="6"/>
      </w:pPr>
    </w:p>
    <w:p w14:paraId="12B26632">
      <w:pPr>
        <w:pStyle w:val="6"/>
      </w:pPr>
    </w:p>
    <w:p w14:paraId="0D657DF5">
      <w:pPr>
        <w:pStyle w:val="6"/>
      </w:pPr>
    </w:p>
    <w:p w14:paraId="6A0BB67D">
      <w:pPr>
        <w:pStyle w:val="6"/>
      </w:pPr>
    </w:p>
    <w:p w14:paraId="6C9EBD66">
      <w:pPr>
        <w:pStyle w:val="4"/>
        <w:rPr>
          <w:rFonts w:hint="eastAsia" w:eastAsiaTheme="minor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7</w:t>
      </w:r>
      <w:r>
        <w:rPr>
          <w:rFonts w:hint="eastAsia"/>
          <w:color w:val="000000" w:themeColor="text1"/>
          <w14:textFill>
            <w14:solidFill>
              <w14:schemeClr w14:val="tx1"/>
            </w14:solidFill>
          </w14:textFill>
        </w:rPr>
        <w:t>、</w:t>
      </w:r>
      <w:r>
        <w:rPr>
          <w:rFonts w:hint="eastAsia"/>
          <w:color w:val="000000" w:themeColor="text1"/>
          <w:lang w:eastAsia="zh-CN"/>
          <w14:textFill>
            <w14:solidFill>
              <w14:schemeClr w14:val="tx1"/>
            </w14:solidFill>
          </w14:textFill>
        </w:rPr>
        <w:t>潜在供应商认为需要提供其他说明或相关资料</w:t>
      </w:r>
    </w:p>
    <w:p w14:paraId="5B93AAFF">
      <w:pPr>
        <w:spacing w:line="400" w:lineRule="exact"/>
        <w:rPr>
          <w:rFonts w:ascii="宋体" w:hAnsi="宋体" w:eastAsia="宋体" w:cs="宋体"/>
          <w:szCs w:val="21"/>
        </w:rPr>
      </w:pPr>
    </w:p>
    <w:sectPr>
      <w:pgSz w:w="11906" w:h="16838"/>
      <w:pgMar w:top="1440" w:right="1417" w:bottom="1440"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Calibri Light">
    <w:altName w:val="Calibri"/>
    <w:panose1 w:val="020F0302020204030204"/>
    <w:charset w:val="00"/>
    <w:family w:val="auto"/>
    <w:pitch w:val="default"/>
    <w:sig w:usb0="00000000" w:usb1="00000000" w:usb2="00000000" w:usb3="00000000" w:csb0="2000019F" w:csb1="00000000"/>
  </w:font>
  <w:font w:name="仿宋_GB2312">
    <w:panose1 w:val="02010609030101010101"/>
    <w:charset w:val="86"/>
    <w:family w:val="modern"/>
    <w:pitch w:val="default"/>
    <w:sig w:usb0="00000001" w:usb1="080E0000" w:usb2="00000000" w:usb3="00000000" w:csb0="00040000" w:csb1="00000000"/>
  </w:font>
  <w:font w:name="Segoe UI">
    <w:panose1 w:val="020B0502040204020203"/>
    <w:charset w:val="00"/>
    <w:family w:val="auto"/>
    <w:pitch w:val="default"/>
    <w:sig w:usb0="E10022FF" w:usb1="C000E47F" w:usb2="00000029" w:usb3="00000000" w:csb0="200001DF" w:csb1="2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C4F36C3"/>
    <w:multiLevelType w:val="multilevel"/>
    <w:tmpl w:val="1C4F36C3"/>
    <w:lvl w:ilvl="0" w:tentative="0">
      <w:start w:val="1"/>
      <w:numFmt w:val="decimal"/>
      <w:lvlText w:val="（%1）"/>
      <w:lvlJc w:val="left"/>
      <w:pPr>
        <w:ind w:left="1200" w:hanging="72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adjustLineHeightInTable/>
    <w:doNotBreakWrappedTables/>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ZmZjQyYjZlMzdlMWI1ZDcyNTQ2N2JmYzFkNjFjOGYifQ=="/>
  </w:docVars>
  <w:rsids>
    <w:rsidRoot w:val="00000000"/>
    <w:rsid w:val="03213297"/>
    <w:rsid w:val="0A8335A7"/>
    <w:rsid w:val="0C6425CD"/>
    <w:rsid w:val="10A342B4"/>
    <w:rsid w:val="122D02D9"/>
    <w:rsid w:val="160C2B35"/>
    <w:rsid w:val="16D8458B"/>
    <w:rsid w:val="1CBA09BB"/>
    <w:rsid w:val="1D357A14"/>
    <w:rsid w:val="1D79513F"/>
    <w:rsid w:val="25A16BBC"/>
    <w:rsid w:val="25C85B01"/>
    <w:rsid w:val="260414BA"/>
    <w:rsid w:val="27865287"/>
    <w:rsid w:val="2B894753"/>
    <w:rsid w:val="30BD1163"/>
    <w:rsid w:val="311C6EC7"/>
    <w:rsid w:val="313B307E"/>
    <w:rsid w:val="33694A9C"/>
    <w:rsid w:val="34CE72A2"/>
    <w:rsid w:val="35045B31"/>
    <w:rsid w:val="37556904"/>
    <w:rsid w:val="37621F23"/>
    <w:rsid w:val="3A1219DE"/>
    <w:rsid w:val="3B9770E5"/>
    <w:rsid w:val="3BBC679D"/>
    <w:rsid w:val="3D8E4AC7"/>
    <w:rsid w:val="45576E3F"/>
    <w:rsid w:val="469D3BA0"/>
    <w:rsid w:val="486A2F43"/>
    <w:rsid w:val="49F35BEF"/>
    <w:rsid w:val="4C1A57FA"/>
    <w:rsid w:val="4D673998"/>
    <w:rsid w:val="51960CEF"/>
    <w:rsid w:val="519D207E"/>
    <w:rsid w:val="529E7E5B"/>
    <w:rsid w:val="57BE4AFC"/>
    <w:rsid w:val="581B3CFC"/>
    <w:rsid w:val="5BA2386D"/>
    <w:rsid w:val="5BC77AB3"/>
    <w:rsid w:val="5D8C307C"/>
    <w:rsid w:val="607E12CC"/>
    <w:rsid w:val="61FC5238"/>
    <w:rsid w:val="640A61EA"/>
    <w:rsid w:val="64C17B6F"/>
    <w:rsid w:val="65D80C76"/>
    <w:rsid w:val="6659436D"/>
    <w:rsid w:val="68776D2D"/>
    <w:rsid w:val="6BD46244"/>
    <w:rsid w:val="72516841"/>
    <w:rsid w:val="73C03CF9"/>
    <w:rsid w:val="78C4546F"/>
    <w:rsid w:val="7A4F18B8"/>
    <w:rsid w:val="7BCE6B3D"/>
    <w:rsid w:val="7E8B7A80"/>
    <w:rsid w:val="7FB60A0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9" w:semiHidden="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spacing w:before="240" w:after="60"/>
      <w:outlineLvl w:val="0"/>
    </w:pPr>
    <w:rPr>
      <w:rFonts w:ascii="Cambria" w:hAnsi="Cambria" w:eastAsia="宋体" w:cs="Times New Roman"/>
      <w:b/>
      <w:bCs/>
      <w:kern w:val="32"/>
      <w:sz w:val="32"/>
      <w:szCs w:val="32"/>
    </w:rPr>
  </w:style>
  <w:style w:type="paragraph" w:styleId="3">
    <w:name w:val="heading 2"/>
    <w:basedOn w:val="1"/>
    <w:next w:val="1"/>
    <w:autoRedefine/>
    <w:unhideWhenUsed/>
    <w:qFormat/>
    <w:uiPriority w:val="9"/>
    <w:pPr>
      <w:keepNext/>
      <w:keepLines/>
      <w:spacing w:before="260" w:after="260" w:line="416" w:lineRule="auto"/>
      <w:outlineLvl w:val="1"/>
    </w:pPr>
    <w:rPr>
      <w:rFonts w:asciiTheme="majorHAnsi" w:hAnsiTheme="majorHAnsi" w:eastAsiaTheme="majorEastAsia" w:cstheme="majorBidi"/>
      <w:b/>
      <w:bCs/>
      <w:sz w:val="30"/>
      <w:szCs w:val="32"/>
    </w:rPr>
  </w:style>
  <w:style w:type="paragraph" w:styleId="4">
    <w:name w:val="heading 3"/>
    <w:basedOn w:val="1"/>
    <w:next w:val="1"/>
    <w:autoRedefine/>
    <w:unhideWhenUsed/>
    <w:qFormat/>
    <w:uiPriority w:val="9"/>
    <w:pPr>
      <w:keepNext/>
      <w:keepLines/>
      <w:spacing w:before="260" w:after="260" w:line="416" w:lineRule="auto"/>
      <w:outlineLvl w:val="2"/>
    </w:pPr>
    <w:rPr>
      <w:b/>
      <w:bCs/>
      <w:sz w:val="28"/>
      <w:szCs w:val="32"/>
    </w:rPr>
  </w:style>
  <w:style w:type="paragraph" w:styleId="5">
    <w:name w:val="heading 4"/>
    <w:basedOn w:val="1"/>
    <w:next w:val="1"/>
    <w:autoRedefine/>
    <w:unhideWhenUsed/>
    <w:qFormat/>
    <w:uiPriority w:val="0"/>
    <w:pPr>
      <w:spacing w:beforeAutospacing="1" w:afterAutospacing="1"/>
      <w:jc w:val="left"/>
      <w:outlineLvl w:val="3"/>
    </w:pPr>
    <w:rPr>
      <w:rFonts w:hint="eastAsia" w:ascii="宋体" w:hAnsi="宋体" w:eastAsia="宋体" w:cs="Times New Roman"/>
      <w:b/>
      <w:bCs/>
      <w:kern w:val="0"/>
      <w:sz w:val="24"/>
    </w:rPr>
  </w:style>
  <w:style w:type="character" w:default="1" w:styleId="14">
    <w:name w:val="Default Paragraph Font"/>
    <w:autoRedefine/>
    <w:unhideWhenUsed/>
    <w:qFormat/>
    <w:uiPriority w:val="1"/>
  </w:style>
  <w:style w:type="table" w:default="1" w:styleId="12">
    <w:name w:val="Normal Table"/>
    <w:unhideWhenUsed/>
    <w:qFormat/>
    <w:uiPriority w:val="99"/>
    <w:tblPr>
      <w:tblCellMar>
        <w:top w:w="0" w:type="dxa"/>
        <w:left w:w="108" w:type="dxa"/>
        <w:bottom w:w="0" w:type="dxa"/>
        <w:right w:w="108" w:type="dxa"/>
      </w:tblCellMar>
    </w:tblPr>
  </w:style>
  <w:style w:type="paragraph" w:styleId="6">
    <w:name w:val="Body Text"/>
    <w:basedOn w:val="1"/>
    <w:qFormat/>
    <w:uiPriority w:val="99"/>
    <w:rPr>
      <w:szCs w:val="20"/>
    </w:rPr>
  </w:style>
  <w:style w:type="paragraph" w:styleId="7">
    <w:name w:val="Body Text Indent"/>
    <w:basedOn w:val="1"/>
    <w:qFormat/>
    <w:uiPriority w:val="0"/>
    <w:pPr>
      <w:ind w:firstLine="830" w:firstLineChars="352"/>
    </w:pPr>
    <w:rPr>
      <w:rFonts w:ascii="仿宋_GB2312" w:eastAsia="仿宋_GB2312"/>
      <w:kern w:val="0"/>
      <w:sz w:val="32"/>
      <w:szCs w:val="20"/>
    </w:rPr>
  </w:style>
  <w:style w:type="paragraph" w:styleId="8">
    <w:name w:val="footer"/>
    <w:basedOn w:val="1"/>
    <w:link w:val="18"/>
    <w:qFormat/>
    <w:uiPriority w:val="0"/>
    <w:pPr>
      <w:tabs>
        <w:tab w:val="center" w:pos="4153"/>
        <w:tab w:val="right" w:pos="8306"/>
      </w:tabs>
      <w:snapToGrid w:val="0"/>
      <w:jc w:val="left"/>
    </w:pPr>
    <w:rPr>
      <w:sz w:val="18"/>
      <w:szCs w:val="18"/>
    </w:rPr>
  </w:style>
  <w:style w:type="paragraph" w:styleId="9">
    <w:name w:val="header"/>
    <w:basedOn w:val="1"/>
    <w:link w:val="17"/>
    <w:qFormat/>
    <w:uiPriority w:val="0"/>
    <w:pPr>
      <w:pBdr>
        <w:bottom w:val="single" w:color="auto" w:sz="6" w:space="1"/>
      </w:pBdr>
      <w:tabs>
        <w:tab w:val="center" w:pos="4153"/>
        <w:tab w:val="right" w:pos="8306"/>
      </w:tabs>
      <w:snapToGrid w:val="0"/>
      <w:jc w:val="center"/>
    </w:pPr>
    <w:rPr>
      <w:sz w:val="18"/>
      <w:szCs w:val="18"/>
    </w:rPr>
  </w:style>
  <w:style w:type="paragraph" w:styleId="10">
    <w:name w:val="toc 1"/>
    <w:basedOn w:val="1"/>
    <w:next w:val="1"/>
    <w:semiHidden/>
    <w:unhideWhenUsed/>
    <w:qFormat/>
    <w:uiPriority w:val="39"/>
  </w:style>
  <w:style w:type="paragraph" w:styleId="11">
    <w:name w:val="Normal (Web)"/>
    <w:basedOn w:val="1"/>
    <w:qFormat/>
    <w:uiPriority w:val="0"/>
    <w:pPr>
      <w:spacing w:beforeAutospacing="1" w:afterAutospacing="1"/>
      <w:jc w:val="left"/>
    </w:pPr>
    <w:rPr>
      <w:rFonts w:cs="Times New Roman"/>
      <w:kern w:val="0"/>
      <w:sz w:val="24"/>
    </w:rPr>
  </w:style>
  <w:style w:type="table" w:styleId="13">
    <w:name w:val="Table Grid"/>
    <w:basedOn w:val="12"/>
    <w:qFormat/>
    <w:uiPriority w:val="39"/>
    <w:rPr>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Strong"/>
    <w:basedOn w:val="14"/>
    <w:qFormat/>
    <w:uiPriority w:val="0"/>
    <w:rPr>
      <w:b/>
    </w:rPr>
  </w:style>
  <w:style w:type="character" w:styleId="16">
    <w:name w:val="Hyperlink"/>
    <w:basedOn w:val="14"/>
    <w:qFormat/>
    <w:uiPriority w:val="0"/>
    <w:rPr>
      <w:color w:val="0000FF"/>
      <w:u w:val="single"/>
    </w:rPr>
  </w:style>
  <w:style w:type="character" w:customStyle="1" w:styleId="17">
    <w:name w:val="页眉 Char"/>
    <w:basedOn w:val="14"/>
    <w:link w:val="9"/>
    <w:qFormat/>
    <w:uiPriority w:val="0"/>
    <w:rPr>
      <w:rFonts w:asciiTheme="minorHAnsi" w:hAnsiTheme="minorHAnsi" w:eastAsiaTheme="minorEastAsia" w:cstheme="minorBidi"/>
      <w:kern w:val="2"/>
      <w:sz w:val="18"/>
      <w:szCs w:val="18"/>
    </w:rPr>
  </w:style>
  <w:style w:type="character" w:customStyle="1" w:styleId="18">
    <w:name w:val="页脚 Char"/>
    <w:basedOn w:val="14"/>
    <w:link w:val="8"/>
    <w:qFormat/>
    <w:uiPriority w:val="0"/>
    <w:rPr>
      <w:rFonts w:asciiTheme="minorHAnsi" w:hAnsiTheme="minorHAnsi" w:eastAsiaTheme="minorEastAsia" w:cstheme="minorBidi"/>
      <w:kern w:val="2"/>
      <w:sz w:val="18"/>
      <w:szCs w:val="18"/>
    </w:rPr>
  </w:style>
  <w:style w:type="paragraph" w:customStyle="1" w:styleId="19">
    <w:name w:val="List Paragraph"/>
    <w:basedOn w:val="1"/>
    <w:autoRedefine/>
    <w:qFormat/>
    <w:uiPriority w:val="34"/>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13</Pages>
  <Words>5587</Words>
  <Characters>6799</Characters>
  <Lines>5</Lines>
  <Paragraphs>1</Paragraphs>
  <TotalTime>0</TotalTime>
  <ScaleCrop>false</ScaleCrop>
  <LinksUpToDate>false</LinksUpToDate>
  <CharactersWithSpaces>7667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2023-11-08T15:39:00Z</dcterms:created>
  <dc:creator>小珍子</dc:creator>
  <cp:lastModifiedBy>天涯游子</cp:lastModifiedBy>
  <cp:lastPrinted>2024-05-11T00:35:00Z</cp:lastPrinted>
  <dcterms:modified xsi:type="dcterms:W3CDTF">2026-04-13T10:39:27Z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37410562BED7475383DED8D256B6A047_13</vt:lpwstr>
  </property>
  <property fmtid="{D5CDD505-2E9C-101B-9397-08002B2CF9AE}" pid="4" name="KSOTemplateDocerSaveRecord">
    <vt:lpwstr>eyJoZGlkIjoiYWZmZjQyYjZlMzdlMWI1ZDcyNTQ2N2JmYzFkNjFjOGYiLCJ1c2VySWQiOiIyNzU1MzQ3MjkifQ==</vt:lpwstr>
  </property>
</Properties>
</file>