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CDDF3">
      <w:pPr>
        <w:pStyle w:val="2"/>
        <w:keepNext/>
        <w:keepLines/>
        <w:pageBreakBefore w:val="0"/>
        <w:widowControl w:val="0"/>
        <w:numPr>
          <w:ilvl w:val="0"/>
          <w:numId w:val="0"/>
        </w:numPr>
        <w:kinsoku/>
        <w:wordWrap/>
        <w:overflowPunct/>
        <w:topLinePunct w:val="0"/>
        <w:autoSpaceDE/>
        <w:autoSpaceDN/>
        <w:bidi w:val="0"/>
        <w:adjustRightInd/>
        <w:snapToGrid/>
        <w:spacing w:before="0" w:after="0" w:line="240" w:lineRule="atLeast"/>
        <w:jc w:val="center"/>
        <w:textAlignment w:val="auto"/>
        <w:outlineLvl w:val="0"/>
        <w:rPr>
          <w:rStyle w:val="17"/>
          <w:rFonts w:hint="eastAsia" w:ascii="方正小标宋_GBK" w:hAnsi="方正小标宋_GBK" w:eastAsia="方正小标宋_GBK" w:cs="方正小标宋_GBK"/>
          <w:b/>
          <w:bCs/>
          <w:i w:val="0"/>
          <w:iCs w:val="0"/>
          <w:caps w:val="0"/>
          <w:color w:val="000000" w:themeColor="text1"/>
          <w:spacing w:val="0"/>
          <w:sz w:val="32"/>
          <w:szCs w:val="32"/>
          <w:shd w:val="clear" w:color="auto" w:fill="FDFDFE"/>
          <w:lang w:eastAsia="zh-CN"/>
          <w14:textFill>
            <w14:solidFill>
              <w14:schemeClr w14:val="tx1"/>
            </w14:solidFill>
          </w14:textFill>
        </w:rPr>
      </w:pPr>
      <w:bookmarkStart w:id="10" w:name="_GoBack"/>
      <w:bookmarkEnd w:id="10"/>
      <w:r>
        <w:rPr>
          <w:rStyle w:val="17"/>
          <w:rFonts w:hint="eastAsia" w:ascii="方正小标宋_GBK" w:hAnsi="方正小标宋_GBK" w:eastAsia="方正小标宋_GBK" w:cs="方正小标宋_GBK"/>
          <w:b/>
          <w:bCs/>
          <w:i w:val="0"/>
          <w:iCs w:val="0"/>
          <w:caps w:val="0"/>
          <w:color w:val="000000" w:themeColor="text1"/>
          <w:spacing w:val="0"/>
          <w:sz w:val="32"/>
          <w:szCs w:val="32"/>
          <w:shd w:val="clear" w:color="auto" w:fill="FDFDFE"/>
          <w:lang w:eastAsia="zh-CN"/>
          <w14:textFill>
            <w14:solidFill>
              <w14:schemeClr w14:val="tx1"/>
            </w14:solidFill>
          </w14:textFill>
        </w:rPr>
        <w:t>贺州市中医医院电子病历无纸化</w:t>
      </w:r>
      <w:r>
        <w:rPr>
          <w:rStyle w:val="17"/>
          <w:rFonts w:hint="eastAsia" w:ascii="方正小标宋_GBK" w:hAnsi="方正小标宋_GBK" w:eastAsia="方正小标宋_GBK" w:cs="方正小标宋_GBK"/>
          <w:b/>
          <w:bCs/>
          <w:i w:val="0"/>
          <w:iCs w:val="0"/>
          <w:caps w:val="0"/>
          <w:color w:val="000000" w:themeColor="text1"/>
          <w:spacing w:val="0"/>
          <w:sz w:val="32"/>
          <w:szCs w:val="32"/>
          <w:shd w:val="clear" w:color="auto" w:fill="FDFDFE"/>
          <w:lang w:val="en-US" w:eastAsia="zh-CN"/>
          <w14:textFill>
            <w14:solidFill>
              <w14:schemeClr w14:val="tx1"/>
            </w14:solidFill>
          </w14:textFill>
        </w:rPr>
        <w:t>归档</w:t>
      </w:r>
      <w:r>
        <w:rPr>
          <w:rStyle w:val="17"/>
          <w:rFonts w:hint="eastAsia" w:ascii="方正小标宋_GBK" w:hAnsi="方正小标宋_GBK" w:eastAsia="方正小标宋_GBK" w:cs="方正小标宋_GBK"/>
          <w:b/>
          <w:bCs/>
          <w:i w:val="0"/>
          <w:iCs w:val="0"/>
          <w:caps w:val="0"/>
          <w:color w:val="000000" w:themeColor="text1"/>
          <w:spacing w:val="0"/>
          <w:sz w:val="32"/>
          <w:szCs w:val="32"/>
          <w:shd w:val="clear" w:color="auto" w:fill="FDFDFE"/>
          <w:lang w:eastAsia="zh-CN"/>
          <w14:textFill>
            <w14:solidFill>
              <w14:schemeClr w14:val="tx1"/>
            </w14:solidFill>
          </w14:textFill>
        </w:rPr>
        <w:t>系统项目</w:t>
      </w:r>
    </w:p>
    <w:p w14:paraId="1C47757E">
      <w:pPr>
        <w:pStyle w:val="2"/>
        <w:keepNext/>
        <w:keepLines/>
        <w:pageBreakBefore w:val="0"/>
        <w:widowControl w:val="0"/>
        <w:numPr>
          <w:ilvl w:val="0"/>
          <w:numId w:val="0"/>
        </w:numPr>
        <w:kinsoku/>
        <w:wordWrap/>
        <w:overflowPunct/>
        <w:topLinePunct w:val="0"/>
        <w:autoSpaceDE/>
        <w:autoSpaceDN/>
        <w:bidi w:val="0"/>
        <w:adjustRightInd/>
        <w:snapToGrid/>
        <w:spacing w:before="0" w:after="0" w:line="240" w:lineRule="atLeast"/>
        <w:jc w:val="center"/>
        <w:textAlignment w:val="auto"/>
        <w:outlineLvl w:val="0"/>
        <w:rPr>
          <w:rStyle w:val="17"/>
          <w:rFonts w:hint="eastAsia" w:ascii="方正小标宋_GBK" w:hAnsi="方正小标宋_GBK" w:eastAsia="方正小标宋_GBK" w:cs="方正小标宋_GBK"/>
          <w:b/>
          <w:bCs/>
          <w:i w:val="0"/>
          <w:iCs w:val="0"/>
          <w:caps w:val="0"/>
          <w:color w:val="000000" w:themeColor="text1"/>
          <w:spacing w:val="0"/>
          <w:sz w:val="32"/>
          <w:szCs w:val="32"/>
          <w:shd w:val="clear" w:color="auto" w:fill="FDFDFE"/>
          <w:lang w:val="en-US" w:eastAsia="zh-CN"/>
          <w14:textFill>
            <w14:solidFill>
              <w14:schemeClr w14:val="tx1"/>
            </w14:solidFill>
          </w14:textFill>
        </w:rPr>
      </w:pPr>
      <w:r>
        <w:rPr>
          <w:rStyle w:val="17"/>
          <w:rFonts w:hint="eastAsia" w:ascii="方正小标宋_GBK" w:hAnsi="方正小标宋_GBK" w:eastAsia="方正小标宋_GBK" w:cs="方正小标宋_GBK"/>
          <w:b/>
          <w:bCs/>
          <w:i w:val="0"/>
          <w:iCs w:val="0"/>
          <w:caps w:val="0"/>
          <w:color w:val="000000" w:themeColor="text1"/>
          <w:spacing w:val="0"/>
          <w:sz w:val="32"/>
          <w:szCs w:val="32"/>
          <w:shd w:val="clear" w:color="auto" w:fill="FDFDFE"/>
          <w:lang w:val="en-US" w:eastAsia="zh-CN"/>
          <w14:textFill>
            <w14:solidFill>
              <w14:schemeClr w14:val="tx1"/>
            </w14:solidFill>
          </w14:textFill>
        </w:rPr>
        <w:t>采购市场调研响应文件</w:t>
      </w:r>
    </w:p>
    <w:p w14:paraId="0EFD6005">
      <w:pPr>
        <w:keepNext w:val="0"/>
        <w:keepLines w:val="0"/>
        <w:widowControl/>
        <w:suppressLineNumbers w:val="0"/>
        <w:spacing w:line="360" w:lineRule="auto"/>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bookmarkStart w:id="0" w:name="_Toc25741"/>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各潜在供应商：</w:t>
      </w:r>
    </w:p>
    <w:p w14:paraId="654E710B">
      <w:pPr>
        <w:keepNext w:val="0"/>
        <w:keepLines w:val="0"/>
        <w:widowControl/>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为加强政府采购需求管理，确保采购需求的完整性及明确性，特向潜在供应商开展采购需求调查，现将有关事宜公告如下：</w:t>
      </w:r>
    </w:p>
    <w:p w14:paraId="78C84D69">
      <w:pPr>
        <w:keepNext w:val="0"/>
        <w:keepLines w:val="0"/>
        <w:widowControl/>
        <w:suppressLineNumbers w:val="0"/>
        <w:spacing w:line="360" w:lineRule="auto"/>
        <w:ind w:firstLine="482" w:firstLineChars="200"/>
        <w:jc w:val="left"/>
        <w:rPr>
          <w:rFonts w:hint="default" w:ascii="仿宋_GB2312" w:hAnsi="仿宋_GB2312" w:eastAsia="仿宋_GB2312" w:cs="仿宋_GB2312"/>
          <w:b/>
          <w:bCs/>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t>一、调研目的</w:t>
      </w:r>
    </w:p>
    <w:p w14:paraId="190D7705">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为充分了解电子病历无纸化归档系统行业主流技术、合规标准、产品功能、版权资质及市场价格水平，调研适配本院现有HIS、EMR系统的无纸化归档、电子签章、病历合规留存、数据安全对接方案，筛选合法合规、权属清晰、成熟稳定的产品，明确项目建设需求、预算范围及实施方案，为项目立项、采购招标提供真实、有效的市场依据。</w:t>
      </w:r>
    </w:p>
    <w:p w14:paraId="71B4F569">
      <w:pPr>
        <w:keepNext w:val="0"/>
        <w:keepLines w:val="0"/>
        <w:widowControl/>
        <w:numPr>
          <w:ilvl w:val="0"/>
          <w:numId w:val="0"/>
        </w:numPr>
        <w:suppressLineNumbers w:val="0"/>
        <w:spacing w:line="360" w:lineRule="auto"/>
        <w:ind w:firstLine="482" w:firstLineChars="200"/>
        <w:jc w:val="left"/>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t>二、调研需求</w:t>
      </w:r>
    </w:p>
    <w:tbl>
      <w:tblPr>
        <w:tblStyle w:val="15"/>
        <w:tblW w:w="48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4912"/>
        <w:gridCol w:w="2643"/>
      </w:tblGrid>
      <w:tr w14:paraId="13F6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jc w:val="center"/>
        </w:trPr>
        <w:tc>
          <w:tcPr>
            <w:tcW w:w="454" w:type="pct"/>
            <w:vAlign w:val="center"/>
          </w:tcPr>
          <w:p w14:paraId="7516F0E2">
            <w:pPr>
              <w:pStyle w:val="7"/>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序号</w:t>
            </w:r>
          </w:p>
        </w:tc>
        <w:tc>
          <w:tcPr>
            <w:tcW w:w="2955" w:type="pct"/>
            <w:vAlign w:val="center"/>
          </w:tcPr>
          <w:p w14:paraId="567D60E6">
            <w:pPr>
              <w:pStyle w:val="7"/>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项目名称</w:t>
            </w:r>
          </w:p>
        </w:tc>
        <w:tc>
          <w:tcPr>
            <w:tcW w:w="1589" w:type="pct"/>
            <w:vAlign w:val="center"/>
          </w:tcPr>
          <w:p w14:paraId="2D2856D8">
            <w:pPr>
              <w:pStyle w:val="7"/>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采购内容需求</w:t>
            </w:r>
          </w:p>
        </w:tc>
      </w:tr>
      <w:tr w14:paraId="08DD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54" w:type="pct"/>
            <w:vAlign w:val="center"/>
          </w:tcPr>
          <w:p w14:paraId="43778501">
            <w:pPr>
              <w:pStyle w:val="7"/>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0"/>
              <w:jc w:val="center"/>
              <w:textAlignment w:val="auto"/>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1</w:t>
            </w:r>
          </w:p>
        </w:tc>
        <w:tc>
          <w:tcPr>
            <w:tcW w:w="2955" w:type="pct"/>
            <w:vAlign w:val="center"/>
          </w:tcPr>
          <w:p w14:paraId="48B74960">
            <w:pPr>
              <w:pStyle w:val="7"/>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0"/>
              <w:jc w:val="center"/>
              <w:textAlignment w:val="auto"/>
              <w:rPr>
                <w:rFonts w:hint="default"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电子病历无纸化归档系统项目</w:t>
            </w:r>
          </w:p>
        </w:tc>
        <w:tc>
          <w:tcPr>
            <w:tcW w:w="1589" w:type="pct"/>
            <w:vAlign w:val="center"/>
          </w:tcPr>
          <w:p w14:paraId="3AA7A8B4">
            <w:pPr>
              <w:pStyle w:val="7"/>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0"/>
              <w:jc w:val="center"/>
              <w:textAlignment w:val="auto"/>
              <w:rPr>
                <w:rFonts w:hint="default"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具体要求详见附件1</w:t>
            </w:r>
          </w:p>
        </w:tc>
      </w:tr>
      <w:bookmarkEnd w:id="0"/>
    </w:tbl>
    <w:p w14:paraId="734C9CC2">
      <w:pPr>
        <w:keepNext w:val="0"/>
        <w:keepLines w:val="0"/>
        <w:widowControl/>
        <w:numPr>
          <w:ilvl w:val="0"/>
          <w:numId w:val="0"/>
        </w:numPr>
        <w:suppressLineNumbers w:val="0"/>
        <w:spacing w:line="360" w:lineRule="auto"/>
        <w:ind w:firstLine="482" w:firstLineChars="200"/>
        <w:jc w:val="left"/>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pPr>
      <w:bookmarkStart w:id="1" w:name="heading_2"/>
      <w:r>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t>三、项目建设核心目标</w:t>
      </w:r>
      <w:bookmarkEnd w:id="1"/>
    </w:p>
    <w:p w14:paraId="0958BCC1">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搭建合规、安全、完整的电子病历无纸化归档管理体系，实现全院病历资料电子化生成、智能质控、版式固化、电子签章、合规归档与长期存储；打通院内现有 HIS、EMR 数据接口，替代传统纸质病历归档模式，简化病案管理流程、提升病历质控效率与调阅速度，保障电子病历真实、完整、不可篡改，完全符合国家电子病历归档合规标准，助力医院信息化、无纸化、规范化建设。</w:t>
      </w:r>
    </w:p>
    <w:p w14:paraId="3D3F68B3">
      <w:pPr>
        <w:keepNext w:val="0"/>
        <w:keepLines w:val="0"/>
        <w:widowControl/>
        <w:numPr>
          <w:ilvl w:val="0"/>
          <w:numId w:val="0"/>
        </w:numPr>
        <w:suppressLineNumbers w:val="0"/>
        <w:spacing w:line="360" w:lineRule="auto"/>
        <w:ind w:firstLine="482" w:firstLineChars="200"/>
        <w:jc w:val="left"/>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pPr>
      <w:bookmarkStart w:id="2" w:name="heading_3"/>
      <w:r>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t>四、系统执行标准与合规要求</w:t>
      </w:r>
      <w:bookmarkEnd w:id="2"/>
    </w:p>
    <w:p w14:paraId="2924CF2C">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系统建设、功能设计、数据安全必须符合以下国家及行业规范：</w:t>
      </w:r>
    </w:p>
    <w:p w14:paraId="184FBF8C">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1.《电子病历应用管理规范（试行）》《医院信息系统基本功能规范》；</w:t>
      </w:r>
    </w:p>
    <w:p w14:paraId="76C050F9">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2.《医疗卫生机构网络安全管理办法》《数据安全法》《个人信息保护法》；</w:t>
      </w:r>
    </w:p>
    <w:p w14:paraId="77294D82">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3.GB/T 22239-2019《信息安全技术 网络安全等级保护基本要求》；</w:t>
      </w:r>
    </w:p>
    <w:p w14:paraId="246A4777">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4.GB/T 20271《信息安全技术 信息系统通用安全技术要求》；</w:t>
      </w:r>
    </w:p>
    <w:p w14:paraId="3715E61A">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5.GB/T 35273《信息安全技术 个人信息安全规范》；</w:t>
      </w:r>
    </w:p>
    <w:p w14:paraId="5C2BE0F2">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6.国家电子病案归档、电子签名、可信时间戳、数据防篡改相关技术规范。</w:t>
      </w:r>
    </w:p>
    <w:p w14:paraId="070C381C">
      <w:pPr>
        <w:keepNext w:val="0"/>
        <w:keepLines w:val="0"/>
        <w:widowControl/>
        <w:numPr>
          <w:ilvl w:val="0"/>
          <w:numId w:val="0"/>
        </w:numPr>
        <w:suppressLineNumbers w:val="0"/>
        <w:spacing w:line="360" w:lineRule="auto"/>
        <w:ind w:firstLine="482" w:firstLineChars="200"/>
        <w:jc w:val="left"/>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pPr>
      <w:bookmarkStart w:id="3" w:name="heading_4"/>
      <w:r>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t>五、软件版权硬性要求</w:t>
      </w:r>
      <w:bookmarkEnd w:id="3"/>
    </w:p>
    <w:p w14:paraId="3503D9E5">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1.所投电子病历无纸化归档系统为供应商原厂自主研发，具备合法有效的计算机软件著作权登记证书，权属清晰，无贴牌、无外购、无版权纠纷、无第三方授权捆绑；</w:t>
      </w:r>
    </w:p>
    <w:p w14:paraId="1B2DB840">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2.项目交付提供永久正版使用授权，无年度软件使用费、授权服务费；</w:t>
      </w:r>
    </w:p>
    <w:p w14:paraId="0DACBC53">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3.供应商承诺系统无知识产权侵权风险，若产生版权、专利纠纷，由供应商承担全部责任与损失。</w:t>
      </w:r>
    </w:p>
    <w:p w14:paraId="33ADD266">
      <w:pPr>
        <w:keepNext w:val="0"/>
        <w:keepLines w:val="0"/>
        <w:widowControl/>
        <w:numPr>
          <w:ilvl w:val="0"/>
          <w:numId w:val="0"/>
        </w:numPr>
        <w:suppressLineNumbers w:val="0"/>
        <w:spacing w:line="360" w:lineRule="auto"/>
        <w:ind w:firstLine="482" w:firstLineChars="200"/>
        <w:jc w:val="left"/>
        <w:rPr>
          <w:rFonts w:hint="default" w:ascii="仿宋_GB2312" w:hAnsi="仿宋_GB2312" w:eastAsia="仿宋_GB2312" w:cs="仿宋_GB2312"/>
          <w:b/>
          <w:bCs/>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t>六、资料要求</w:t>
      </w:r>
    </w:p>
    <w:p w14:paraId="5F3EB3AA">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1.公司简介、营业执照、法人身份证明、法人授权委托书、被授权人联系方式；</w:t>
      </w:r>
    </w:p>
    <w:p w14:paraId="3CD13EB8">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2.系统软件著作权证书、相关合规资质、检测报告；</w:t>
      </w:r>
    </w:p>
    <w:p w14:paraId="6F5D96CE">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3.系统详细技术方案、功能说明书、架构说明、对接方案；</w:t>
      </w:r>
    </w:p>
    <w:p w14:paraId="27558A8A">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4.同类医院项目业绩案例（合同、验收材料）；</w:t>
      </w:r>
    </w:p>
    <w:p w14:paraId="1733F155">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5.项目报价方案（含软件、实施、对接、培训、运维服务明细）；</w:t>
      </w:r>
    </w:p>
    <w:p w14:paraId="178FBC31">
      <w:pPr>
        <w:keepNext w:val="0"/>
        <w:keepLines w:val="0"/>
        <w:widowControl/>
        <w:numPr>
          <w:ilvl w:val="0"/>
          <w:numId w:val="0"/>
        </w:numPr>
        <w:suppressLineNumbers w:val="0"/>
        <w:spacing w:line="360" w:lineRule="auto"/>
        <w:ind w:firstLine="420" w:firstLineChars="200"/>
        <w:jc w:val="left"/>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1"/>
          <w:szCs w:val="21"/>
          <w:lang w:val="en-US" w:eastAsia="zh-CN" w:bidi="ar-SA"/>
          <w14:textFill>
            <w14:solidFill>
              <w14:schemeClr w14:val="tx1"/>
            </w14:solidFill>
          </w14:textFill>
        </w:rPr>
        <w:t>6.售后服务方案、质保周期、故障响应机制。</w:t>
      </w:r>
    </w:p>
    <w:p w14:paraId="63379DD0">
      <w:pPr>
        <w:spacing w:line="400" w:lineRule="exact"/>
        <w:ind w:firstLine="420" w:firstLineChars="200"/>
        <w:rPr>
          <w:rFonts w:hint="eastAsia" w:ascii="仿宋_GB2312" w:hAnsi="仿宋_GB2312" w:eastAsia="仿宋_GB2312" w:cs="仿宋_GB2312"/>
          <w:color w:val="000000" w:themeColor="text1"/>
          <w:sz w:val="21"/>
          <w:szCs w:val="21"/>
          <w14:textFill>
            <w14:solidFill>
              <w14:schemeClr w14:val="tx1"/>
            </w14:solidFill>
          </w14:textFill>
        </w:rPr>
      </w:pPr>
    </w:p>
    <w:p w14:paraId="5B24EF46">
      <w:pPr>
        <w:spacing w:line="400" w:lineRule="exact"/>
        <w:ind w:firstLine="420" w:firstLineChars="200"/>
        <w:rPr>
          <w:rFonts w:hint="eastAsia" w:ascii="仿宋_GB2312" w:hAnsi="仿宋_GB2312" w:eastAsia="仿宋_GB2312" w:cs="仿宋_GB2312"/>
          <w:color w:val="000000" w:themeColor="text1"/>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有意向参加调查的供应商请于202</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6</w:t>
      </w:r>
      <w:r>
        <w:rPr>
          <w:rFonts w:hint="eastAsia" w:ascii="仿宋_GB2312" w:hAnsi="仿宋_GB2312" w:eastAsia="仿宋_GB2312" w:cs="仿宋_GB2312"/>
          <w:color w:val="000000" w:themeColor="text1"/>
          <w:sz w:val="21"/>
          <w:szCs w:val="21"/>
          <w14:textFill>
            <w14:solidFill>
              <w14:schemeClr w14:val="tx1"/>
            </w14:solidFill>
          </w14:textFill>
        </w:rPr>
        <w:t>年</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7</w:t>
      </w:r>
      <w:r>
        <w:rPr>
          <w:rFonts w:hint="eastAsia" w:ascii="仿宋_GB2312" w:hAnsi="仿宋_GB2312" w:eastAsia="仿宋_GB2312" w:cs="仿宋_GB2312"/>
          <w:color w:val="000000" w:themeColor="text1"/>
          <w:sz w:val="21"/>
          <w:szCs w:val="21"/>
          <w14:textFill>
            <w14:solidFill>
              <w14:schemeClr w14:val="tx1"/>
            </w14:solidFill>
          </w14:textFill>
        </w:rPr>
        <w:t>月</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1</w:t>
      </w:r>
      <w:r>
        <w:rPr>
          <w:rFonts w:hint="eastAsia" w:ascii="仿宋_GB2312" w:hAnsi="仿宋_GB2312" w:eastAsia="仿宋_GB2312" w:cs="仿宋_GB2312"/>
          <w:color w:val="000000" w:themeColor="text1"/>
          <w:sz w:val="21"/>
          <w:szCs w:val="21"/>
          <w14:textFill>
            <w14:solidFill>
              <w14:schemeClr w14:val="tx1"/>
            </w14:solidFill>
          </w14:textFill>
        </w:rPr>
        <w:t>日起至20</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26</w:t>
      </w:r>
      <w:r>
        <w:rPr>
          <w:rFonts w:hint="eastAsia" w:ascii="仿宋_GB2312" w:hAnsi="仿宋_GB2312" w:eastAsia="仿宋_GB2312" w:cs="仿宋_GB2312"/>
          <w:color w:val="000000" w:themeColor="text1"/>
          <w:sz w:val="21"/>
          <w:szCs w:val="21"/>
          <w14:textFill>
            <w14:solidFill>
              <w14:schemeClr w14:val="tx1"/>
            </w14:solidFill>
          </w14:textFill>
        </w:rPr>
        <w:t>年</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7</w:t>
      </w:r>
      <w:r>
        <w:rPr>
          <w:rFonts w:hint="eastAsia" w:ascii="仿宋_GB2312" w:hAnsi="仿宋_GB2312" w:eastAsia="仿宋_GB2312" w:cs="仿宋_GB2312"/>
          <w:color w:val="000000" w:themeColor="text1"/>
          <w:sz w:val="21"/>
          <w:szCs w:val="21"/>
          <w14:textFill>
            <w14:solidFill>
              <w14:schemeClr w14:val="tx1"/>
            </w14:solidFill>
          </w14:textFill>
        </w:rPr>
        <w:t>月</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3</w:t>
      </w:r>
      <w:r>
        <w:rPr>
          <w:rFonts w:hint="eastAsia" w:ascii="仿宋_GB2312" w:hAnsi="仿宋_GB2312" w:eastAsia="仿宋_GB2312" w:cs="仿宋_GB2312"/>
          <w:color w:val="000000" w:themeColor="text1"/>
          <w:sz w:val="21"/>
          <w:szCs w:val="21"/>
          <w14:textFill>
            <w14:solidFill>
              <w14:schemeClr w14:val="tx1"/>
            </w14:solidFill>
          </w14:textFill>
        </w:rPr>
        <w:t>日按市场调</w:t>
      </w:r>
      <w:r>
        <w:rPr>
          <w:rFonts w:hint="eastAsia" w:ascii="仿宋_GB2312" w:hAnsi="仿宋_GB2312" w:eastAsia="仿宋_GB2312" w:cs="仿宋_GB2312"/>
          <w:color w:val="000000" w:themeColor="text1"/>
          <w:sz w:val="21"/>
          <w:szCs w:val="21"/>
          <w:lang w:eastAsia="zh-CN"/>
          <w14:textFill>
            <w14:solidFill>
              <w14:schemeClr w14:val="tx1"/>
            </w14:solidFill>
          </w14:textFill>
        </w:rPr>
        <w:t>研</w:t>
      </w:r>
      <w:r>
        <w:rPr>
          <w:rFonts w:hint="eastAsia" w:ascii="仿宋_GB2312" w:hAnsi="仿宋_GB2312" w:eastAsia="仿宋_GB2312" w:cs="仿宋_GB2312"/>
          <w:color w:val="000000" w:themeColor="text1"/>
          <w:sz w:val="21"/>
          <w:szCs w:val="21"/>
          <w14:textFill>
            <w14:solidFill>
              <w14:schemeClr w14:val="tx1"/>
            </w14:solidFill>
          </w14:textFill>
        </w:rPr>
        <w:t>的要求及格式完成市场</w:t>
      </w:r>
      <w:r>
        <w:rPr>
          <w:rFonts w:hint="eastAsia" w:ascii="仿宋_GB2312" w:hAnsi="仿宋_GB2312" w:eastAsia="仿宋_GB2312" w:cs="仿宋_GB2312"/>
          <w:color w:val="000000" w:themeColor="text1"/>
          <w:sz w:val="21"/>
          <w:szCs w:val="21"/>
          <w:lang w:eastAsia="zh-CN"/>
          <w14:textFill>
            <w14:solidFill>
              <w14:schemeClr w14:val="tx1"/>
            </w14:solidFill>
          </w14:textFill>
        </w:rPr>
        <w:t>研</w:t>
      </w:r>
      <w:r>
        <w:rPr>
          <w:rFonts w:hint="eastAsia" w:ascii="仿宋_GB2312" w:hAnsi="仿宋_GB2312" w:eastAsia="仿宋_GB2312" w:cs="仿宋_GB2312"/>
          <w:color w:val="000000" w:themeColor="text1"/>
          <w:sz w:val="21"/>
          <w:szCs w:val="21"/>
          <w14:textFill>
            <w14:solidFill>
              <w14:schemeClr w14:val="tx1"/>
            </w14:solidFill>
          </w14:textFill>
        </w:rPr>
        <w:t>查响应文件</w:t>
      </w:r>
      <w:r>
        <w:rPr>
          <w:rFonts w:hint="eastAsia" w:ascii="仿宋_GB2312" w:hAnsi="仿宋_GB2312" w:eastAsia="仿宋_GB2312" w:cs="仿宋_GB2312"/>
          <w:color w:val="000000" w:themeColor="text1"/>
          <w:sz w:val="21"/>
          <w:szCs w:val="21"/>
          <w:lang w:eastAsia="zh-CN"/>
          <w14:textFill>
            <w14:solidFill>
              <w14:schemeClr w14:val="tx1"/>
            </w14:solidFill>
          </w14:textFill>
        </w:rPr>
        <w:t>并</w:t>
      </w:r>
      <w:r>
        <w:rPr>
          <w:rFonts w:hint="eastAsia" w:ascii="仿宋_GB2312" w:hAnsi="仿宋_GB2312" w:eastAsia="仿宋_GB2312" w:cs="仿宋_GB2312"/>
          <w:color w:val="000000" w:themeColor="text1"/>
          <w:sz w:val="21"/>
          <w:szCs w:val="21"/>
          <w14:textFill>
            <w14:solidFill>
              <w14:schemeClr w14:val="tx1"/>
            </w14:solidFill>
          </w14:textFill>
        </w:rPr>
        <w:t>发送至邮箱：</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hzszyyxxk2024@163.com</w:t>
      </w:r>
      <w:r>
        <w:rPr>
          <w:rFonts w:hint="eastAsia" w:ascii="仿宋_GB2312" w:hAnsi="仿宋_GB2312" w:eastAsia="仿宋_GB2312" w:cs="仿宋_GB2312"/>
          <w:color w:val="000000" w:themeColor="text1"/>
          <w:sz w:val="21"/>
          <w:szCs w:val="21"/>
          <w14:textFill>
            <w14:solidFill>
              <w14:schemeClr w14:val="tx1"/>
            </w14:solidFill>
          </w14:textFill>
        </w:rPr>
        <w:t>（邮件格式主题：项目名称+公司名称+调查问卷）</w:t>
      </w:r>
      <w:r>
        <w:rPr>
          <w:rFonts w:hint="eastAsia" w:ascii="仿宋_GB2312" w:hAnsi="仿宋_GB2312" w:eastAsia="仿宋_GB2312" w:cs="仿宋_GB2312"/>
          <w:color w:val="000000" w:themeColor="text1"/>
          <w:sz w:val="21"/>
          <w:szCs w:val="21"/>
          <w:lang w:eastAsia="zh-CN"/>
          <w14:textFill>
            <w14:solidFill>
              <w14:schemeClr w14:val="tx1"/>
            </w14:solidFill>
          </w14:textFill>
        </w:rPr>
        <w:t>。</w:t>
      </w:r>
      <w:r>
        <w:rPr>
          <w:rFonts w:hint="eastAsia" w:ascii="仿宋_GB2312" w:hAnsi="仿宋_GB2312" w:eastAsia="仿宋_GB2312" w:cs="仿宋_GB2312"/>
          <w:color w:val="000000" w:themeColor="text1"/>
          <w:sz w:val="21"/>
          <w:szCs w:val="21"/>
          <w14:textFill>
            <w14:solidFill>
              <w14:schemeClr w14:val="tx1"/>
            </w14:solidFill>
          </w14:textFill>
        </w:rPr>
        <w:t>市场调</w:t>
      </w:r>
      <w:r>
        <w:rPr>
          <w:rFonts w:hint="eastAsia" w:ascii="仿宋_GB2312" w:hAnsi="仿宋_GB2312" w:eastAsia="仿宋_GB2312" w:cs="仿宋_GB2312"/>
          <w:color w:val="000000" w:themeColor="text1"/>
          <w:sz w:val="21"/>
          <w:szCs w:val="21"/>
          <w:lang w:eastAsia="zh-CN"/>
          <w14:textFill>
            <w14:solidFill>
              <w14:schemeClr w14:val="tx1"/>
            </w14:solidFill>
          </w14:textFill>
        </w:rPr>
        <w:t>研</w:t>
      </w:r>
      <w:r>
        <w:rPr>
          <w:rFonts w:hint="eastAsia" w:ascii="仿宋_GB2312" w:hAnsi="仿宋_GB2312" w:eastAsia="仿宋_GB2312" w:cs="仿宋_GB2312"/>
          <w:color w:val="000000" w:themeColor="text1"/>
          <w:sz w:val="21"/>
          <w:szCs w:val="21"/>
          <w14:textFill>
            <w14:solidFill>
              <w14:schemeClr w14:val="tx1"/>
            </w14:solidFill>
          </w14:textFill>
        </w:rPr>
        <w:t>响应文件需提供扫描文件（格式：pdf）一份以及可编辑的Word格式电子文件（格式：doc或docx）一份。电子文件命名方式：项目名称+公司名称</w:t>
      </w:r>
      <w:r>
        <w:rPr>
          <w:rFonts w:hint="eastAsia" w:ascii="仿宋_GB2312" w:hAnsi="仿宋_GB2312" w:eastAsia="仿宋_GB2312" w:cs="仿宋_GB2312"/>
          <w:color w:val="000000" w:themeColor="text1"/>
          <w:sz w:val="21"/>
          <w:szCs w:val="21"/>
          <w:lang w:eastAsia="zh-CN"/>
          <w14:textFill>
            <w14:solidFill>
              <w14:schemeClr w14:val="tx1"/>
            </w14:solidFill>
          </w14:textFill>
        </w:rPr>
        <w:t>。</w:t>
      </w:r>
      <w:r>
        <w:rPr>
          <w:rFonts w:hint="eastAsia" w:ascii="仿宋_GB2312" w:hAnsi="仿宋_GB2312" w:eastAsia="仿宋_GB2312" w:cs="仿宋_GB2312"/>
          <w:color w:val="000000" w:themeColor="text1"/>
          <w:sz w:val="21"/>
          <w:szCs w:val="21"/>
          <w14:textFill>
            <w14:solidFill>
              <w14:schemeClr w14:val="tx1"/>
            </w14:solidFill>
          </w14:textFill>
        </w:rPr>
        <w:t>递交截止时间20</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26</w:t>
      </w:r>
      <w:r>
        <w:rPr>
          <w:rFonts w:hint="eastAsia" w:ascii="仿宋_GB2312" w:hAnsi="仿宋_GB2312" w:eastAsia="仿宋_GB2312" w:cs="仿宋_GB2312"/>
          <w:color w:val="000000" w:themeColor="text1"/>
          <w:sz w:val="21"/>
          <w:szCs w:val="21"/>
          <w14:textFill>
            <w14:solidFill>
              <w14:schemeClr w14:val="tx1"/>
            </w14:solidFill>
          </w14:textFill>
        </w:rPr>
        <w:t>年</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7</w:t>
      </w:r>
      <w:r>
        <w:rPr>
          <w:rFonts w:hint="eastAsia" w:ascii="仿宋_GB2312" w:hAnsi="仿宋_GB2312" w:eastAsia="仿宋_GB2312" w:cs="仿宋_GB2312"/>
          <w:color w:val="000000" w:themeColor="text1"/>
          <w:sz w:val="21"/>
          <w:szCs w:val="21"/>
          <w14:textFill>
            <w14:solidFill>
              <w14:schemeClr w14:val="tx1"/>
            </w14:solidFill>
          </w14:textFill>
        </w:rPr>
        <w:t>月</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3</w:t>
      </w:r>
      <w:r>
        <w:rPr>
          <w:rFonts w:hint="eastAsia" w:ascii="仿宋_GB2312" w:hAnsi="仿宋_GB2312" w:eastAsia="仿宋_GB2312" w:cs="仿宋_GB2312"/>
          <w:color w:val="000000" w:themeColor="text1"/>
          <w:sz w:val="21"/>
          <w:szCs w:val="21"/>
          <w14:textFill>
            <w14:solidFill>
              <w14:schemeClr w14:val="tx1"/>
            </w14:solidFill>
          </w14:textFill>
        </w:rPr>
        <w:t>日</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17</w:t>
      </w:r>
      <w:r>
        <w:rPr>
          <w:rFonts w:hint="eastAsia" w:ascii="仿宋_GB2312" w:hAnsi="仿宋_GB2312" w:eastAsia="仿宋_GB2312" w:cs="仿宋_GB2312"/>
          <w:color w:val="000000" w:themeColor="text1"/>
          <w:sz w:val="21"/>
          <w:szCs w:val="21"/>
          <w14:textFill>
            <w14:solidFill>
              <w14:schemeClr w14:val="tx1"/>
            </w14:solidFill>
          </w14:textFill>
        </w:rPr>
        <w:t>：</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3</w:t>
      </w:r>
      <w:r>
        <w:rPr>
          <w:rFonts w:hint="eastAsia" w:ascii="仿宋_GB2312" w:hAnsi="仿宋_GB2312" w:eastAsia="仿宋_GB2312" w:cs="仿宋_GB2312"/>
          <w:color w:val="000000" w:themeColor="text1"/>
          <w:sz w:val="21"/>
          <w:szCs w:val="21"/>
          <w14:textFill>
            <w14:solidFill>
              <w14:schemeClr w14:val="tx1"/>
            </w14:solidFill>
          </w14:textFill>
        </w:rPr>
        <w:t>0。递交方式</w:t>
      </w:r>
      <w:r>
        <w:rPr>
          <w:rFonts w:hint="eastAsia" w:ascii="仿宋_GB2312" w:hAnsi="仿宋_GB2312" w:eastAsia="仿宋_GB2312" w:cs="仿宋_GB2312"/>
          <w:color w:val="000000" w:themeColor="text1"/>
          <w:sz w:val="21"/>
          <w:szCs w:val="21"/>
          <w:lang w:eastAsia="zh-CN"/>
          <w14:textFill>
            <w14:solidFill>
              <w14:schemeClr w14:val="tx1"/>
            </w14:solidFill>
          </w14:textFill>
        </w:rPr>
        <w:t>：</w:t>
      </w:r>
      <w:r>
        <w:rPr>
          <w:rFonts w:hint="eastAsia" w:ascii="仿宋_GB2312" w:hAnsi="仿宋_GB2312" w:eastAsia="仿宋_GB2312" w:cs="仿宋_GB2312"/>
          <w:color w:val="000000" w:themeColor="text1"/>
          <w:sz w:val="21"/>
          <w:szCs w:val="21"/>
          <w14:textFill>
            <w14:solidFill>
              <w14:schemeClr w14:val="tx1"/>
            </w14:solidFill>
          </w14:textFill>
        </w:rPr>
        <w:t>将扫描件、电子文件以邮件附件形式在递交截至时间前发送至电子邮箱：</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hzszyyxxk2024@163.com</w:t>
      </w:r>
      <w:r>
        <w:rPr>
          <w:rFonts w:hint="eastAsia" w:ascii="仿宋_GB2312" w:hAnsi="仿宋_GB2312" w:eastAsia="仿宋_GB2312" w:cs="仿宋_GB2312"/>
          <w:color w:val="000000" w:themeColor="text1"/>
          <w:sz w:val="21"/>
          <w:szCs w:val="21"/>
          <w14:textFill>
            <w14:solidFill>
              <w14:schemeClr w14:val="tx1"/>
            </w14:solidFill>
          </w14:textFill>
        </w:rPr>
        <w:t>，邮件主题命名格式：项目名称+公司名称。联系人</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及电话</w:t>
      </w:r>
      <w:r>
        <w:rPr>
          <w:rFonts w:hint="eastAsia" w:ascii="仿宋_GB2312" w:hAnsi="仿宋_GB2312" w:eastAsia="仿宋_GB2312" w:cs="仿宋_GB2312"/>
          <w:color w:val="000000" w:themeColor="text1"/>
          <w:sz w:val="21"/>
          <w:szCs w:val="21"/>
          <w14:textFill>
            <w14:solidFill>
              <w14:schemeClr w14:val="tx1"/>
            </w14:solidFill>
          </w14:textFill>
        </w:rPr>
        <w:t>：</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 xml:space="preserve">龙工 </w:t>
      </w:r>
      <w:r>
        <w:rPr>
          <w:rFonts w:hint="eastAsia" w:ascii="仿宋_GB2312" w:hAnsi="仿宋_GB2312" w:eastAsia="仿宋_GB2312" w:cs="仿宋_GB2312"/>
          <w:color w:val="000000" w:themeColor="text1"/>
          <w:sz w:val="21"/>
          <w:szCs w:val="21"/>
          <w14:textFill>
            <w14:solidFill>
              <w14:schemeClr w14:val="tx1"/>
            </w14:solidFill>
          </w14:textFill>
        </w:rPr>
        <w:t>0774-5</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139128</w:t>
      </w:r>
    </w:p>
    <w:p w14:paraId="74945F5F">
      <w:pPr>
        <w:spacing w:line="400" w:lineRule="exact"/>
        <w:ind w:firstLine="420" w:firstLineChars="200"/>
        <w:rPr>
          <w:rFonts w:hint="eastAsia" w:ascii="仿宋_GB2312" w:hAnsi="仿宋_GB2312" w:eastAsia="仿宋_GB2312" w:cs="仿宋_GB2312"/>
          <w:color w:val="000000" w:themeColor="text1"/>
          <w:sz w:val="21"/>
          <w:szCs w:val="21"/>
          <w14:textFill>
            <w14:solidFill>
              <w14:schemeClr w14:val="tx1"/>
            </w14:solidFill>
          </w14:textFill>
        </w:rPr>
      </w:pPr>
    </w:p>
    <w:p w14:paraId="222AE3CE">
      <w:pPr>
        <w:keepNext w:val="0"/>
        <w:keepLines w:val="0"/>
        <w:widowControl/>
        <w:numPr>
          <w:ilvl w:val="0"/>
          <w:numId w:val="0"/>
        </w:numPr>
        <w:suppressLineNumbers w:val="0"/>
        <w:spacing w:line="360" w:lineRule="auto"/>
        <w:ind w:firstLine="480" w:firstLineChars="200"/>
        <w:jc w:val="left"/>
        <w:rPr>
          <w:rFonts w:hint="eastAsia" w:ascii="仿宋_GB2312" w:hAnsi="仿宋_GB2312" w:eastAsia="仿宋_GB2312" w:cs="仿宋_GB2312"/>
          <w:color w:val="000000" w:themeColor="text1"/>
          <w:kern w:val="2"/>
          <w:sz w:val="24"/>
          <w:szCs w:val="24"/>
          <w:lang w:val="en-US" w:eastAsia="zh-CN" w:bidi="ar"/>
          <w14:textFill>
            <w14:solidFill>
              <w14:schemeClr w14:val="tx1"/>
            </w14:solidFill>
          </w14:textFill>
        </w:rPr>
      </w:pPr>
    </w:p>
    <w:p w14:paraId="507A39CB">
      <w:pPr>
        <w:keepNext w:val="0"/>
        <w:keepLines w:val="0"/>
        <w:widowControl/>
        <w:numPr>
          <w:ilvl w:val="0"/>
          <w:numId w:val="0"/>
        </w:numPr>
        <w:suppressLineNumbers w:val="0"/>
        <w:spacing w:line="360" w:lineRule="auto"/>
        <w:ind w:firstLine="482" w:firstLineChars="200"/>
        <w:jc w:val="left"/>
        <w:rPr>
          <w:rFonts w:hint="eastAsia" w:ascii="仿宋" w:hAnsi="仿宋" w:eastAsia="仿宋" w:cs="仿宋"/>
          <w:b/>
          <w:bCs/>
          <w:color w:val="000000" w:themeColor="text1"/>
          <w:kern w:val="2"/>
          <w:sz w:val="24"/>
          <w:szCs w:val="24"/>
          <w:lang w:val="en-US" w:eastAsia="zh-CN" w:bidi="ar"/>
          <w14:textFill>
            <w14:solidFill>
              <w14:schemeClr w14:val="tx1"/>
            </w14:solidFill>
          </w14:textFill>
        </w:rPr>
      </w:pPr>
    </w:p>
    <w:p w14:paraId="3AB1256A">
      <w:pPr>
        <w:keepNext w:val="0"/>
        <w:keepLines w:val="0"/>
        <w:widowControl/>
        <w:numPr>
          <w:ilvl w:val="0"/>
          <w:numId w:val="0"/>
        </w:numPr>
        <w:suppressLineNumbers w:val="0"/>
        <w:spacing w:line="360" w:lineRule="auto"/>
        <w:ind w:firstLine="482" w:firstLineChars="200"/>
        <w:jc w:val="left"/>
        <w:rPr>
          <w:rFonts w:hint="eastAsia" w:ascii="仿宋" w:hAnsi="仿宋" w:eastAsia="仿宋" w:cs="仿宋"/>
          <w:b/>
          <w:bCs/>
          <w:color w:val="000000" w:themeColor="text1"/>
          <w:kern w:val="2"/>
          <w:sz w:val="24"/>
          <w:szCs w:val="24"/>
          <w:lang w:val="en-US" w:eastAsia="zh-CN" w:bidi="ar"/>
          <w14:textFill>
            <w14:solidFill>
              <w14:schemeClr w14:val="tx1"/>
            </w14:solidFill>
          </w14:textFill>
        </w:rPr>
      </w:pPr>
    </w:p>
    <w:p w14:paraId="48BCF59F">
      <w:pPr>
        <w:keepNext w:val="0"/>
        <w:keepLines w:val="0"/>
        <w:widowControl/>
        <w:numPr>
          <w:ilvl w:val="0"/>
          <w:numId w:val="0"/>
        </w:numPr>
        <w:suppressLineNumbers w:val="0"/>
        <w:spacing w:line="360" w:lineRule="auto"/>
        <w:jc w:val="left"/>
        <w:rPr>
          <w:rFonts w:hint="eastAsia" w:ascii="仿宋" w:hAnsi="仿宋" w:eastAsia="仿宋" w:cs="仿宋"/>
          <w:b/>
          <w:bCs/>
          <w:color w:val="000000" w:themeColor="text1"/>
          <w:kern w:val="2"/>
          <w:sz w:val="24"/>
          <w:szCs w:val="24"/>
          <w:lang w:val="en-US" w:eastAsia="zh-CN" w:bidi="ar"/>
          <w14:textFill>
            <w14:solidFill>
              <w14:schemeClr w14:val="tx1"/>
            </w14:solidFill>
          </w14:textFill>
        </w:rPr>
      </w:pPr>
    </w:p>
    <w:p w14:paraId="57A5BD33">
      <w:pPr>
        <w:keepNext w:val="0"/>
        <w:keepLines w:val="0"/>
        <w:widowControl/>
        <w:numPr>
          <w:ilvl w:val="0"/>
          <w:numId w:val="0"/>
        </w:numPr>
        <w:suppressLineNumbers w:val="0"/>
        <w:spacing w:line="360" w:lineRule="auto"/>
        <w:jc w:val="left"/>
        <w:rPr>
          <w:rFonts w:hint="eastAsia" w:ascii="仿宋" w:hAnsi="仿宋" w:eastAsia="仿宋" w:cs="仿宋"/>
          <w:b/>
          <w:bCs/>
          <w:color w:val="000000" w:themeColor="text1"/>
          <w:kern w:val="2"/>
          <w:sz w:val="24"/>
          <w:szCs w:val="24"/>
          <w:lang w:val="en-US" w:eastAsia="zh-CN" w:bidi="ar"/>
          <w14:textFill>
            <w14:solidFill>
              <w14:schemeClr w14:val="tx1"/>
            </w14:solidFill>
          </w14:textFill>
        </w:rPr>
      </w:pPr>
    </w:p>
    <w:p w14:paraId="6CED4C62">
      <w:pPr>
        <w:keepNext w:val="0"/>
        <w:keepLines w:val="0"/>
        <w:widowControl/>
        <w:numPr>
          <w:ilvl w:val="0"/>
          <w:numId w:val="0"/>
        </w:numPr>
        <w:suppressLineNumbers w:val="0"/>
        <w:spacing w:line="360" w:lineRule="auto"/>
        <w:jc w:val="left"/>
        <w:rPr>
          <w:rFonts w:hint="eastAsia" w:ascii="仿宋" w:hAnsi="仿宋" w:eastAsia="仿宋" w:cs="仿宋"/>
          <w:b/>
          <w:bCs/>
          <w:color w:val="000000" w:themeColor="text1"/>
          <w:kern w:val="2"/>
          <w:sz w:val="24"/>
          <w:szCs w:val="24"/>
          <w:lang w:val="en-US" w:eastAsia="zh-CN" w:bidi="ar"/>
          <w14:textFill>
            <w14:solidFill>
              <w14:schemeClr w14:val="tx1"/>
            </w14:solidFill>
          </w14:textFill>
        </w:rPr>
      </w:pPr>
    </w:p>
    <w:p w14:paraId="037916C0">
      <w:pPr>
        <w:keepNext w:val="0"/>
        <w:keepLines w:val="0"/>
        <w:widowControl/>
        <w:numPr>
          <w:ilvl w:val="0"/>
          <w:numId w:val="0"/>
        </w:numPr>
        <w:suppressLineNumbers w:val="0"/>
        <w:spacing w:line="360" w:lineRule="auto"/>
        <w:jc w:val="left"/>
        <w:rPr>
          <w:rFonts w:hint="eastAsia" w:ascii="仿宋" w:hAnsi="仿宋" w:eastAsia="仿宋" w:cs="仿宋"/>
          <w:b/>
          <w:bCs/>
          <w:color w:val="000000" w:themeColor="text1"/>
          <w:kern w:val="2"/>
          <w:sz w:val="24"/>
          <w:szCs w:val="24"/>
          <w:lang w:val="en-US" w:eastAsia="zh-CN" w:bidi="ar"/>
          <w14:textFill>
            <w14:solidFill>
              <w14:schemeClr w14:val="tx1"/>
            </w14:solidFill>
          </w14:textFill>
        </w:rPr>
      </w:pPr>
    </w:p>
    <w:p w14:paraId="52276B34">
      <w:pPr>
        <w:keepNext w:val="0"/>
        <w:keepLines w:val="0"/>
        <w:widowControl/>
        <w:numPr>
          <w:ilvl w:val="0"/>
          <w:numId w:val="0"/>
        </w:numPr>
        <w:suppressLineNumbers w:val="0"/>
        <w:spacing w:line="360" w:lineRule="auto"/>
        <w:jc w:val="left"/>
        <w:rPr>
          <w:rFonts w:hint="eastAsia" w:ascii="仿宋" w:hAnsi="仿宋" w:eastAsia="仿宋" w:cs="仿宋"/>
          <w:b/>
          <w:bCs/>
          <w:color w:val="000000" w:themeColor="text1"/>
          <w:kern w:val="2"/>
          <w:sz w:val="24"/>
          <w:szCs w:val="24"/>
          <w:lang w:val="en-US" w:eastAsia="zh-CN" w:bidi="ar"/>
          <w14:textFill>
            <w14:solidFill>
              <w14:schemeClr w14:val="tx1"/>
            </w14:solidFill>
          </w14:textFill>
        </w:rPr>
      </w:pPr>
    </w:p>
    <w:p w14:paraId="0CFE974B">
      <w:pPr>
        <w:keepNext w:val="0"/>
        <w:keepLines w:val="0"/>
        <w:widowControl/>
        <w:numPr>
          <w:ilvl w:val="0"/>
          <w:numId w:val="0"/>
        </w:numPr>
        <w:suppressLineNumbers w:val="0"/>
        <w:spacing w:line="360" w:lineRule="auto"/>
        <w:jc w:val="left"/>
        <w:rPr>
          <w:rFonts w:hint="eastAsia" w:ascii="仿宋" w:hAnsi="仿宋" w:eastAsia="仿宋" w:cs="仿宋"/>
          <w:b/>
          <w:bCs/>
          <w:color w:val="000000" w:themeColor="text1"/>
          <w:kern w:val="2"/>
          <w:sz w:val="24"/>
          <w:szCs w:val="24"/>
          <w:lang w:val="en-US" w:eastAsia="zh-CN" w:bidi="ar"/>
          <w14:textFill>
            <w14:solidFill>
              <w14:schemeClr w14:val="tx1"/>
            </w14:solidFill>
          </w14:textFill>
        </w:rPr>
      </w:pPr>
    </w:p>
    <w:p w14:paraId="37223F72">
      <w:pPr>
        <w:keepNext w:val="0"/>
        <w:keepLines w:val="0"/>
        <w:widowControl/>
        <w:numPr>
          <w:ilvl w:val="0"/>
          <w:numId w:val="0"/>
        </w:numPr>
        <w:suppressLineNumbers w:val="0"/>
        <w:spacing w:line="360" w:lineRule="auto"/>
        <w:jc w:val="left"/>
        <w:rPr>
          <w:rFonts w:hint="eastAsia" w:ascii="仿宋" w:hAnsi="仿宋" w:eastAsia="仿宋" w:cs="仿宋"/>
          <w:b/>
          <w:bCs/>
          <w:color w:val="000000" w:themeColor="text1"/>
          <w:kern w:val="2"/>
          <w:sz w:val="24"/>
          <w:szCs w:val="24"/>
          <w:lang w:val="en-US" w:eastAsia="zh-CN" w:bidi="ar"/>
          <w14:textFill>
            <w14:solidFill>
              <w14:schemeClr w14:val="tx1"/>
            </w14:solidFill>
          </w14:textFill>
        </w:rPr>
      </w:pPr>
    </w:p>
    <w:p w14:paraId="72645ADF">
      <w:pPr>
        <w:keepNext w:val="0"/>
        <w:keepLines w:val="0"/>
        <w:widowControl/>
        <w:numPr>
          <w:ilvl w:val="0"/>
          <w:numId w:val="0"/>
        </w:numPr>
        <w:suppressLineNumbers w:val="0"/>
        <w:spacing w:line="360" w:lineRule="auto"/>
        <w:jc w:val="left"/>
        <w:rPr>
          <w:rFonts w:hint="eastAsia" w:ascii="仿宋" w:hAnsi="仿宋" w:eastAsia="仿宋" w:cs="仿宋"/>
          <w:b/>
          <w:bCs/>
          <w:color w:val="000000" w:themeColor="text1"/>
          <w:kern w:val="2"/>
          <w:sz w:val="24"/>
          <w:szCs w:val="24"/>
          <w:lang w:val="en-US" w:eastAsia="zh-CN" w:bidi="ar"/>
          <w14:textFill>
            <w14:solidFill>
              <w14:schemeClr w14:val="tx1"/>
            </w14:solidFill>
          </w14:textFill>
        </w:rPr>
      </w:pPr>
      <w:r>
        <w:rPr>
          <w:rFonts w:hint="eastAsia" w:ascii="仿宋" w:hAnsi="仿宋" w:eastAsia="仿宋" w:cs="仿宋"/>
          <w:b/>
          <w:bCs/>
          <w:color w:val="000000" w:themeColor="text1"/>
          <w:kern w:val="2"/>
          <w:sz w:val="24"/>
          <w:szCs w:val="24"/>
          <w:lang w:val="en-US" w:eastAsia="zh-CN" w:bidi="ar"/>
          <w14:textFill>
            <w14:solidFill>
              <w14:schemeClr w14:val="tx1"/>
            </w14:solidFill>
          </w14:textFill>
        </w:rPr>
        <w:t>附件1：系统功能技术参数</w:t>
      </w:r>
    </w:p>
    <w:tbl>
      <w:tblPr>
        <w:tblStyle w:val="14"/>
        <w:tblpPr w:leftFromText="180" w:rightFromText="180" w:vertAnchor="text" w:horzAnchor="page" w:tblpX="710" w:tblpY="469"/>
        <w:tblOverlap w:val="never"/>
        <w:tblW w:w="10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286"/>
        <w:gridCol w:w="1985"/>
        <w:gridCol w:w="7009"/>
      </w:tblGrid>
      <w:tr w14:paraId="2B75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Align w:val="center"/>
          </w:tcPr>
          <w:p w14:paraId="15202A40">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
                <w:sz w:val="18"/>
                <w:szCs w:val="18"/>
              </w:rPr>
            </w:pPr>
            <w:bookmarkStart w:id="4" w:name="_Hlk175213080"/>
            <w:r>
              <w:rPr>
                <w:rFonts w:hint="eastAsia" w:ascii="仿宋_GB2312" w:hAnsi="仿宋_GB2312" w:eastAsia="仿宋_GB2312" w:cs="仿宋_GB2312"/>
                <w:b/>
                <w:sz w:val="18"/>
                <w:szCs w:val="18"/>
              </w:rPr>
              <w:t>序号</w:t>
            </w:r>
          </w:p>
        </w:tc>
        <w:tc>
          <w:tcPr>
            <w:tcW w:w="1286" w:type="dxa"/>
            <w:vAlign w:val="center"/>
          </w:tcPr>
          <w:p w14:paraId="3002AA8A">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
                <w:sz w:val="18"/>
                <w:szCs w:val="18"/>
              </w:rPr>
            </w:pPr>
            <w:r>
              <w:rPr>
                <w:rFonts w:hint="eastAsia" w:ascii="仿宋_GB2312" w:hAnsi="仿宋_GB2312" w:eastAsia="仿宋_GB2312" w:cs="仿宋_GB2312"/>
                <w:b/>
                <w:sz w:val="18"/>
                <w:szCs w:val="18"/>
              </w:rPr>
              <w:t>系统模块</w:t>
            </w:r>
          </w:p>
        </w:tc>
        <w:tc>
          <w:tcPr>
            <w:tcW w:w="1985" w:type="dxa"/>
            <w:vAlign w:val="center"/>
          </w:tcPr>
          <w:p w14:paraId="5B813EA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
                <w:sz w:val="18"/>
                <w:szCs w:val="18"/>
              </w:rPr>
            </w:pPr>
            <w:r>
              <w:rPr>
                <w:rFonts w:hint="eastAsia" w:ascii="仿宋_GB2312" w:hAnsi="仿宋_GB2312" w:eastAsia="仿宋_GB2312" w:cs="仿宋_GB2312"/>
                <w:b/>
                <w:sz w:val="18"/>
                <w:szCs w:val="18"/>
              </w:rPr>
              <w:t>二级子模块</w:t>
            </w:r>
          </w:p>
        </w:tc>
        <w:tc>
          <w:tcPr>
            <w:tcW w:w="7009" w:type="dxa"/>
            <w:vAlign w:val="center"/>
          </w:tcPr>
          <w:p w14:paraId="4BA49760">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
                <w:sz w:val="18"/>
                <w:szCs w:val="18"/>
              </w:rPr>
            </w:pPr>
            <w:r>
              <w:rPr>
                <w:rFonts w:hint="eastAsia" w:ascii="仿宋_GB2312" w:hAnsi="仿宋_GB2312" w:eastAsia="仿宋_GB2312" w:cs="仿宋_GB2312"/>
                <w:b/>
                <w:sz w:val="18"/>
                <w:szCs w:val="18"/>
              </w:rPr>
              <w:t>功能说明</w:t>
            </w:r>
          </w:p>
        </w:tc>
      </w:tr>
      <w:tr w14:paraId="4B46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restart"/>
            <w:vAlign w:val="center"/>
          </w:tcPr>
          <w:p w14:paraId="6024ED43">
            <w:pPr>
              <w:keepNext w:val="0"/>
              <w:keepLines w:val="0"/>
              <w:pageBreakBefore w:val="0"/>
              <w:widowControl w:val="0"/>
              <w:numPr>
                <w:ilvl w:val="0"/>
                <w:numId w:val="0"/>
              </w:numPr>
              <w:kinsoku/>
              <w:wordWrap/>
              <w:overflowPunct/>
              <w:topLinePunct w:val="0"/>
              <w:autoSpaceDE/>
              <w:autoSpaceDN/>
              <w:bidi w:val="0"/>
              <w:spacing w:line="240" w:lineRule="atLeast"/>
              <w:ind w:left="425" w:leftChars="0" w:hanging="425" w:firstLineChars="0"/>
              <w:jc w:val="center"/>
              <w:textAlignment w:val="auto"/>
              <w:rPr>
                <w:rFonts w:hint="eastAsia" w:ascii="仿宋_GB2312" w:hAnsi="仿宋_GB2312" w:eastAsia="仿宋_GB2312" w:cs="仿宋_GB2312"/>
                <w:bCs/>
                <w:sz w:val="18"/>
                <w:szCs w:val="18"/>
              </w:rPr>
            </w:pPr>
            <w:r>
              <w:rPr>
                <w:rFonts w:hint="default" w:ascii="仿宋_GB2312" w:hAnsi="仿宋_GB2312" w:eastAsia="仿宋_GB2312" w:cs="仿宋_GB2312"/>
                <w:bCs/>
                <w:kern w:val="2"/>
                <w:sz w:val="18"/>
                <w:szCs w:val="18"/>
                <w:lang w:val="en-US" w:eastAsia="zh-CN" w:bidi="ar-SA"/>
              </w:rPr>
              <w:t>1</w:t>
            </w:r>
          </w:p>
        </w:tc>
        <w:tc>
          <w:tcPr>
            <w:tcW w:w="1286" w:type="dxa"/>
            <w:vMerge w:val="restart"/>
            <w:vAlign w:val="center"/>
          </w:tcPr>
          <w:p w14:paraId="031CF3F5">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数据对接功能</w:t>
            </w:r>
          </w:p>
        </w:tc>
        <w:tc>
          <w:tcPr>
            <w:tcW w:w="1985" w:type="dxa"/>
            <w:vAlign w:val="center"/>
          </w:tcPr>
          <w:p w14:paraId="55A880A6">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数据对接功能</w:t>
            </w:r>
          </w:p>
        </w:tc>
        <w:tc>
          <w:tcPr>
            <w:tcW w:w="7009" w:type="dxa"/>
            <w:vAlign w:val="center"/>
          </w:tcPr>
          <w:p w14:paraId="10AC996D">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无需第三方厂商提供接口技术支持实现医院现有各业务信息系统病案数据提取功能</w:t>
            </w:r>
          </w:p>
        </w:tc>
      </w:tr>
      <w:tr w14:paraId="3297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58DCDF5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692586C2">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p>
        </w:tc>
        <w:tc>
          <w:tcPr>
            <w:tcW w:w="1985" w:type="dxa"/>
            <w:vAlign w:val="center"/>
          </w:tcPr>
          <w:p w14:paraId="22B0964E">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电子病历系统对接</w:t>
            </w:r>
          </w:p>
        </w:tc>
        <w:tc>
          <w:tcPr>
            <w:tcW w:w="7009" w:type="dxa"/>
            <w:vAlign w:val="center"/>
          </w:tcPr>
          <w:p w14:paraId="003DC94A">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rPr>
              <w:t>对接电子病历系统（EMR）并实现全部归档病案PDF提取：病案首页、首页续页、入院记录、护理记录、出院小结等全部电子病案内容。</w:t>
            </w:r>
          </w:p>
        </w:tc>
      </w:tr>
      <w:tr w14:paraId="7782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3D87A1D5">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3BE334EF">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p>
        </w:tc>
        <w:tc>
          <w:tcPr>
            <w:tcW w:w="1985" w:type="dxa"/>
            <w:vAlign w:val="center"/>
          </w:tcPr>
          <w:p w14:paraId="5C9D97FF">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HIS对接</w:t>
            </w:r>
          </w:p>
        </w:tc>
        <w:tc>
          <w:tcPr>
            <w:tcW w:w="7009" w:type="dxa"/>
            <w:vAlign w:val="center"/>
          </w:tcPr>
          <w:p w14:paraId="37C29542">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rPr>
              <w:t>对接HIS并实现全部归档病案PDF提取：长期医嘱，临时医嘱等全部电子病案内容。</w:t>
            </w:r>
          </w:p>
        </w:tc>
      </w:tr>
      <w:tr w14:paraId="4DC0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0934244E">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424182C2">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p>
        </w:tc>
        <w:tc>
          <w:tcPr>
            <w:tcW w:w="1985" w:type="dxa"/>
            <w:vAlign w:val="center"/>
          </w:tcPr>
          <w:p w14:paraId="47D36967">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PACS对接</w:t>
            </w:r>
          </w:p>
        </w:tc>
        <w:tc>
          <w:tcPr>
            <w:tcW w:w="7009" w:type="dxa"/>
            <w:vAlign w:val="center"/>
          </w:tcPr>
          <w:p w14:paraId="0E7CEDA5">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rPr>
              <w:t>对接医学影像系统（PACS）并实现全部归档病案PDF提取：内镜、MR、ECT、CR、CT、B超等全部类型的住院检查报告。</w:t>
            </w:r>
          </w:p>
        </w:tc>
      </w:tr>
      <w:tr w14:paraId="4AE80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2253A650">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30E93EE1">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p>
        </w:tc>
        <w:tc>
          <w:tcPr>
            <w:tcW w:w="1985" w:type="dxa"/>
            <w:vAlign w:val="center"/>
          </w:tcPr>
          <w:p w14:paraId="70A71F8C">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LIS对接</w:t>
            </w:r>
          </w:p>
        </w:tc>
        <w:tc>
          <w:tcPr>
            <w:tcW w:w="7009" w:type="dxa"/>
            <w:vAlign w:val="center"/>
          </w:tcPr>
          <w:p w14:paraId="59F960BC">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rPr>
              <w:t>对接LIS并实现全部归档病案PDF提取：全部住院检验报告。</w:t>
            </w:r>
          </w:p>
        </w:tc>
      </w:tr>
      <w:tr w14:paraId="3B8E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63B45006">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1A6B49B7">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p>
        </w:tc>
        <w:tc>
          <w:tcPr>
            <w:tcW w:w="1985" w:type="dxa"/>
            <w:vAlign w:val="center"/>
          </w:tcPr>
          <w:p w14:paraId="44915DE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其他业务系统对接</w:t>
            </w:r>
          </w:p>
        </w:tc>
        <w:tc>
          <w:tcPr>
            <w:tcW w:w="7009" w:type="dxa"/>
            <w:vAlign w:val="center"/>
          </w:tcPr>
          <w:p w14:paraId="5E01F837">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无需第三方厂商提供接口支持，独立对接除上述系统外的医院其他联网业务信息系统，实现系统归档病案数据的PDF提取。</w:t>
            </w:r>
          </w:p>
        </w:tc>
      </w:tr>
      <w:tr w14:paraId="0645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restart"/>
            <w:vAlign w:val="center"/>
          </w:tcPr>
          <w:p w14:paraId="7D1B5822">
            <w:pPr>
              <w:keepNext w:val="0"/>
              <w:keepLines w:val="0"/>
              <w:pageBreakBefore w:val="0"/>
              <w:widowControl w:val="0"/>
              <w:numPr>
                <w:ilvl w:val="0"/>
                <w:numId w:val="0"/>
              </w:numPr>
              <w:kinsoku/>
              <w:wordWrap/>
              <w:overflowPunct/>
              <w:topLinePunct w:val="0"/>
              <w:autoSpaceDE/>
              <w:autoSpaceDN/>
              <w:bidi w:val="0"/>
              <w:spacing w:line="240" w:lineRule="atLeast"/>
              <w:ind w:left="425" w:leftChars="0" w:hanging="425" w:firstLineChars="0"/>
              <w:jc w:val="center"/>
              <w:textAlignment w:val="auto"/>
              <w:rPr>
                <w:rFonts w:hint="eastAsia" w:ascii="仿宋_GB2312" w:hAnsi="仿宋_GB2312" w:eastAsia="仿宋_GB2312" w:cs="仿宋_GB2312"/>
                <w:bCs/>
                <w:sz w:val="18"/>
                <w:szCs w:val="18"/>
              </w:rPr>
            </w:pPr>
            <w:r>
              <w:rPr>
                <w:rFonts w:hint="default" w:ascii="仿宋_GB2312" w:hAnsi="仿宋_GB2312" w:eastAsia="仿宋_GB2312" w:cs="仿宋_GB2312"/>
                <w:bCs/>
                <w:kern w:val="2"/>
                <w:sz w:val="18"/>
                <w:szCs w:val="18"/>
                <w:lang w:val="en-US" w:eastAsia="zh-CN" w:bidi="ar-SA"/>
              </w:rPr>
              <w:t>2</w:t>
            </w:r>
          </w:p>
        </w:tc>
        <w:tc>
          <w:tcPr>
            <w:tcW w:w="1286" w:type="dxa"/>
            <w:vMerge w:val="restart"/>
            <w:vAlign w:val="center"/>
          </w:tcPr>
          <w:p w14:paraId="6534108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病案归档</w:t>
            </w:r>
          </w:p>
        </w:tc>
        <w:tc>
          <w:tcPr>
            <w:tcW w:w="1985" w:type="dxa"/>
            <w:vAlign w:val="center"/>
          </w:tcPr>
          <w:p w14:paraId="1575B27A">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全自动后台多终端归档模块</w:t>
            </w:r>
          </w:p>
        </w:tc>
        <w:tc>
          <w:tcPr>
            <w:tcW w:w="7009" w:type="dxa"/>
            <w:vAlign w:val="center"/>
          </w:tcPr>
          <w:p w14:paraId="6F641A41">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sz w:val="18"/>
                <w:szCs w:val="18"/>
              </w:rPr>
              <w:t>支持自动从电子病历系统、PACS、LIS系统、医嘱等系统中将出院病案完整归档。支持多个终端进行归档，提高归档效率。</w:t>
            </w:r>
          </w:p>
        </w:tc>
      </w:tr>
      <w:tr w14:paraId="222F5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20AF4ECA">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57D2ECC7">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714252DC">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归档数据发生修改后自动补归</w:t>
            </w:r>
          </w:p>
        </w:tc>
        <w:tc>
          <w:tcPr>
            <w:tcW w:w="7009" w:type="dxa"/>
            <w:vAlign w:val="center"/>
          </w:tcPr>
          <w:p w14:paraId="45C68C6A">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sz w:val="18"/>
                <w:szCs w:val="18"/>
              </w:rPr>
              <w:t>支持对归档病案数据发生退档修改时，等退档流程完成再次达到归档条件后，自动进行补归功能，支持无人值守的情况下由系统提取出病案的补归内容。</w:t>
            </w:r>
          </w:p>
        </w:tc>
      </w:tr>
      <w:tr w14:paraId="69E4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249173CF">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41BB44D5">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49C90D8E">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中心数据监控</w:t>
            </w:r>
          </w:p>
        </w:tc>
        <w:tc>
          <w:tcPr>
            <w:tcW w:w="7009" w:type="dxa"/>
            <w:vAlign w:val="center"/>
          </w:tcPr>
          <w:p w14:paraId="634C809C">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sz w:val="18"/>
                <w:szCs w:val="18"/>
              </w:rPr>
              <w:t>支持数据监控功能，并将感知到的数据错误、对接错误进行容错，并且出错情况截图保存备查。</w:t>
            </w:r>
          </w:p>
        </w:tc>
      </w:tr>
      <w:tr w14:paraId="5A5F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restart"/>
            <w:vAlign w:val="center"/>
          </w:tcPr>
          <w:p w14:paraId="7B80E397">
            <w:pPr>
              <w:keepNext w:val="0"/>
              <w:keepLines w:val="0"/>
              <w:pageBreakBefore w:val="0"/>
              <w:widowControl w:val="0"/>
              <w:numPr>
                <w:ilvl w:val="0"/>
                <w:numId w:val="0"/>
              </w:numPr>
              <w:kinsoku/>
              <w:wordWrap/>
              <w:overflowPunct/>
              <w:topLinePunct w:val="0"/>
              <w:autoSpaceDE/>
              <w:autoSpaceDN/>
              <w:bidi w:val="0"/>
              <w:spacing w:line="240" w:lineRule="atLeast"/>
              <w:ind w:left="425" w:leftChars="0" w:hanging="425" w:firstLineChars="0"/>
              <w:jc w:val="center"/>
              <w:textAlignment w:val="auto"/>
              <w:rPr>
                <w:rFonts w:hint="eastAsia" w:ascii="仿宋_GB2312" w:hAnsi="仿宋_GB2312" w:eastAsia="仿宋_GB2312" w:cs="仿宋_GB2312"/>
                <w:bCs/>
                <w:sz w:val="18"/>
                <w:szCs w:val="18"/>
              </w:rPr>
            </w:pPr>
            <w:r>
              <w:rPr>
                <w:rFonts w:hint="default" w:ascii="仿宋_GB2312" w:hAnsi="仿宋_GB2312" w:eastAsia="仿宋_GB2312" w:cs="仿宋_GB2312"/>
                <w:bCs/>
                <w:kern w:val="2"/>
                <w:sz w:val="18"/>
                <w:szCs w:val="18"/>
                <w:lang w:val="en-US" w:eastAsia="zh-CN" w:bidi="ar-SA"/>
              </w:rPr>
              <w:t>3</w:t>
            </w:r>
          </w:p>
        </w:tc>
        <w:tc>
          <w:tcPr>
            <w:tcW w:w="1286" w:type="dxa"/>
            <w:vMerge w:val="restart"/>
            <w:vAlign w:val="center"/>
          </w:tcPr>
          <w:p w14:paraId="4816B976">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病案查询</w:t>
            </w:r>
          </w:p>
        </w:tc>
        <w:tc>
          <w:tcPr>
            <w:tcW w:w="1985" w:type="dxa"/>
            <w:vAlign w:val="center"/>
          </w:tcPr>
          <w:p w14:paraId="29109074">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多项组合查询</w:t>
            </w:r>
          </w:p>
        </w:tc>
        <w:tc>
          <w:tcPr>
            <w:tcW w:w="7009" w:type="dxa"/>
            <w:vAlign w:val="center"/>
          </w:tcPr>
          <w:p w14:paraId="65E85B94">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系统支持多种病案的查询检索方式，可单项查询、可多项组合查询等</w:t>
            </w:r>
          </w:p>
        </w:tc>
      </w:tr>
      <w:tr w14:paraId="2003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290BEA7D">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710D00E4">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2AFCF291">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多项条件查询</w:t>
            </w:r>
          </w:p>
        </w:tc>
        <w:tc>
          <w:tcPr>
            <w:tcW w:w="7009" w:type="dxa"/>
            <w:vAlign w:val="center"/>
          </w:tcPr>
          <w:p w14:paraId="2A739DF7">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系统支持通过病案号、姓名、出院科室、出院时间、身份证号、主要诊断等信息进行病案查询。</w:t>
            </w:r>
          </w:p>
        </w:tc>
      </w:tr>
      <w:tr w14:paraId="1F76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5AC3C871">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49FDFA7A">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0E7A6351">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病案PDF文件导出</w:t>
            </w:r>
          </w:p>
        </w:tc>
        <w:tc>
          <w:tcPr>
            <w:tcW w:w="7009" w:type="dxa"/>
            <w:vAlign w:val="center"/>
          </w:tcPr>
          <w:p w14:paraId="6902B076">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系统支持病案PDF文件导出功能，满足医院对整份病案的应用需求。</w:t>
            </w:r>
          </w:p>
        </w:tc>
      </w:tr>
      <w:tr w14:paraId="3EB5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02C68A07">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5BD6D14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40B7406C">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highlight w:val="yellow"/>
              </w:rPr>
            </w:pPr>
            <w:r>
              <w:rPr>
                <w:rFonts w:hint="eastAsia" w:ascii="仿宋_GB2312" w:hAnsi="仿宋_GB2312" w:eastAsia="仿宋_GB2312" w:cs="仿宋_GB2312"/>
                <w:bCs/>
                <w:sz w:val="18"/>
                <w:szCs w:val="18"/>
              </w:rPr>
              <w:t>扫描病案的查询</w:t>
            </w:r>
          </w:p>
        </w:tc>
        <w:tc>
          <w:tcPr>
            <w:tcW w:w="7009" w:type="dxa"/>
            <w:vAlign w:val="center"/>
          </w:tcPr>
          <w:p w14:paraId="5C62E471">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sz w:val="18"/>
                <w:szCs w:val="18"/>
                <w:highlight w:val="yellow"/>
              </w:rPr>
            </w:pPr>
            <w:r>
              <w:rPr>
                <w:rFonts w:hint="eastAsia" w:ascii="仿宋_GB2312" w:hAnsi="仿宋_GB2312" w:eastAsia="仿宋_GB2312" w:cs="仿宋_GB2312"/>
                <w:color w:val="000000"/>
                <w:sz w:val="18"/>
                <w:szCs w:val="18"/>
              </w:rPr>
              <w:t>提供扫描病案的查询功能，通过病案关键信息进行查询，支持查询数据导出功能。</w:t>
            </w:r>
          </w:p>
        </w:tc>
      </w:tr>
      <w:tr w14:paraId="7FB7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restart"/>
            <w:vAlign w:val="center"/>
          </w:tcPr>
          <w:p w14:paraId="2241ED8D">
            <w:pPr>
              <w:keepNext w:val="0"/>
              <w:keepLines w:val="0"/>
              <w:pageBreakBefore w:val="0"/>
              <w:widowControl w:val="0"/>
              <w:numPr>
                <w:ilvl w:val="0"/>
                <w:numId w:val="0"/>
              </w:numPr>
              <w:kinsoku/>
              <w:wordWrap/>
              <w:overflowPunct/>
              <w:topLinePunct w:val="0"/>
              <w:autoSpaceDE/>
              <w:autoSpaceDN/>
              <w:bidi w:val="0"/>
              <w:spacing w:line="240" w:lineRule="atLeast"/>
              <w:ind w:left="425" w:leftChars="0" w:hanging="425" w:firstLineChars="0"/>
              <w:jc w:val="center"/>
              <w:textAlignment w:val="auto"/>
              <w:rPr>
                <w:rFonts w:hint="eastAsia" w:ascii="仿宋_GB2312" w:hAnsi="仿宋_GB2312" w:eastAsia="仿宋_GB2312" w:cs="仿宋_GB2312"/>
                <w:bCs/>
                <w:sz w:val="18"/>
                <w:szCs w:val="18"/>
              </w:rPr>
            </w:pPr>
            <w:r>
              <w:rPr>
                <w:rFonts w:hint="default" w:ascii="仿宋_GB2312" w:hAnsi="仿宋_GB2312" w:eastAsia="仿宋_GB2312" w:cs="仿宋_GB2312"/>
                <w:bCs/>
                <w:kern w:val="2"/>
                <w:sz w:val="18"/>
                <w:szCs w:val="18"/>
                <w:lang w:val="en-US" w:eastAsia="zh-CN" w:bidi="ar-SA"/>
              </w:rPr>
              <w:t>4</w:t>
            </w:r>
          </w:p>
        </w:tc>
        <w:tc>
          <w:tcPr>
            <w:tcW w:w="1286" w:type="dxa"/>
            <w:vMerge w:val="restart"/>
            <w:vAlign w:val="center"/>
          </w:tcPr>
          <w:p w14:paraId="0B90B9F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病案打印</w:t>
            </w:r>
          </w:p>
        </w:tc>
        <w:tc>
          <w:tcPr>
            <w:tcW w:w="1985" w:type="dxa"/>
            <w:vAlign w:val="center"/>
          </w:tcPr>
          <w:p w14:paraId="019527A5">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打印整份病案</w:t>
            </w:r>
          </w:p>
        </w:tc>
        <w:tc>
          <w:tcPr>
            <w:tcW w:w="7009" w:type="dxa"/>
            <w:vAlign w:val="center"/>
          </w:tcPr>
          <w:p w14:paraId="3F0D5D69">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对于已经归档的病案，可以通过系统平台，直接打印一整份病案。</w:t>
            </w:r>
          </w:p>
        </w:tc>
      </w:tr>
      <w:tr w14:paraId="2C13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394C5674">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52A0878E">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6F817990">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选择打印</w:t>
            </w:r>
          </w:p>
        </w:tc>
        <w:tc>
          <w:tcPr>
            <w:tcW w:w="7009" w:type="dxa"/>
            <w:vAlign w:val="center"/>
          </w:tcPr>
          <w:p w14:paraId="260A3A32">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可以针对某一张或多张病案资料进行自主选择打印</w:t>
            </w:r>
          </w:p>
        </w:tc>
      </w:tr>
      <w:tr w14:paraId="7C87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39611074">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37E4BB0D">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3BB94151">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打印窗口服务</w:t>
            </w:r>
          </w:p>
        </w:tc>
        <w:tc>
          <w:tcPr>
            <w:tcW w:w="7009" w:type="dxa"/>
            <w:vAlign w:val="center"/>
          </w:tcPr>
          <w:p w14:paraId="387F980F">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支持病案复印人身份证刷卡、高拍仪扫描、手写板签字。</w:t>
            </w:r>
          </w:p>
        </w:tc>
      </w:tr>
      <w:tr w14:paraId="1BE7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61C9822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7EF889CA">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5109B745">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复印登记</w:t>
            </w:r>
          </w:p>
        </w:tc>
        <w:tc>
          <w:tcPr>
            <w:tcW w:w="7009" w:type="dxa"/>
            <w:vAlign w:val="center"/>
          </w:tcPr>
          <w:p w14:paraId="5E3565C0">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支持归档病案的复印登记，能对病案复印人证件、签名信息进行登记保存，并支持查询病案复印人历史记录。</w:t>
            </w:r>
          </w:p>
        </w:tc>
      </w:tr>
      <w:tr w14:paraId="1E44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50EE66DD">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72C86469">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27297058">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自定义套餐打印</w:t>
            </w:r>
          </w:p>
        </w:tc>
        <w:tc>
          <w:tcPr>
            <w:tcW w:w="7009" w:type="dxa"/>
            <w:vAlign w:val="center"/>
          </w:tcPr>
          <w:p w14:paraId="67922CD3">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设定打印套餐，如新农合、商业保险等，实现一键打印。</w:t>
            </w:r>
          </w:p>
        </w:tc>
      </w:tr>
      <w:tr w14:paraId="1F45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3C72FBC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1A12E0D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3314F57D">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打印费用统计</w:t>
            </w:r>
          </w:p>
        </w:tc>
        <w:tc>
          <w:tcPr>
            <w:tcW w:w="7009" w:type="dxa"/>
            <w:vAlign w:val="center"/>
          </w:tcPr>
          <w:p w14:paraId="67F3A9F1">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支持打印费用统计功能，即根据当前病案打印的页数自动计算打印费用。</w:t>
            </w:r>
          </w:p>
        </w:tc>
      </w:tr>
      <w:tr w14:paraId="2226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6B85555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3747A98F">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7BCDD1F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合并打印</w:t>
            </w:r>
          </w:p>
        </w:tc>
        <w:tc>
          <w:tcPr>
            <w:tcW w:w="7009" w:type="dxa"/>
            <w:vAlign w:val="center"/>
          </w:tcPr>
          <w:p w14:paraId="0EC66A82">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支持两张 A5 纸大小的检验报告可以合并到一张 A4 纸打印。</w:t>
            </w:r>
          </w:p>
        </w:tc>
      </w:tr>
      <w:tr w14:paraId="2B91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12AA2F3D">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262F54CC">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180F109F">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遮盖打印功能</w:t>
            </w:r>
          </w:p>
        </w:tc>
        <w:tc>
          <w:tcPr>
            <w:tcW w:w="7009" w:type="dxa"/>
            <w:vAlign w:val="center"/>
          </w:tcPr>
          <w:p w14:paraId="58CD6166">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系统提供临时鼠标框选遮盖打印功能，实现将不需要打印出来的病案内容用鼠标临时进行遮盖。</w:t>
            </w:r>
          </w:p>
        </w:tc>
      </w:tr>
      <w:tr w14:paraId="5329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09F36C4C">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60CA6586">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14CF30D6">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病案打印记录和提醒</w:t>
            </w:r>
          </w:p>
        </w:tc>
        <w:tc>
          <w:tcPr>
            <w:tcW w:w="7009" w:type="dxa"/>
            <w:vAlign w:val="center"/>
          </w:tcPr>
          <w:p w14:paraId="4F41AA5F">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打印的病案会有详细的时间轴，记录了打印人的姓名、身份证号、打印的时间等等，当对某份病案进行查询浏览时，如果此前该病案进行过病案打印，系统能提示最近的上一次打印时间等提醒功能。</w:t>
            </w:r>
          </w:p>
        </w:tc>
      </w:tr>
      <w:tr w14:paraId="361D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restart"/>
            <w:vAlign w:val="center"/>
          </w:tcPr>
          <w:p w14:paraId="2C6BC454">
            <w:pPr>
              <w:keepNext w:val="0"/>
              <w:keepLines w:val="0"/>
              <w:pageBreakBefore w:val="0"/>
              <w:widowControl w:val="0"/>
              <w:numPr>
                <w:ilvl w:val="0"/>
                <w:numId w:val="0"/>
              </w:numPr>
              <w:kinsoku/>
              <w:wordWrap/>
              <w:overflowPunct/>
              <w:topLinePunct w:val="0"/>
              <w:autoSpaceDE/>
              <w:autoSpaceDN/>
              <w:bidi w:val="0"/>
              <w:spacing w:line="240" w:lineRule="atLeast"/>
              <w:ind w:left="425" w:leftChars="0" w:hanging="425" w:firstLineChars="0"/>
              <w:jc w:val="center"/>
              <w:textAlignment w:val="auto"/>
              <w:rPr>
                <w:rFonts w:hint="eastAsia" w:ascii="仿宋_GB2312" w:hAnsi="仿宋_GB2312" w:eastAsia="仿宋_GB2312" w:cs="仿宋_GB2312"/>
                <w:bCs/>
                <w:sz w:val="18"/>
                <w:szCs w:val="18"/>
              </w:rPr>
            </w:pPr>
            <w:r>
              <w:rPr>
                <w:rFonts w:hint="default" w:ascii="仿宋_GB2312" w:hAnsi="仿宋_GB2312" w:eastAsia="仿宋_GB2312" w:cs="仿宋_GB2312"/>
                <w:bCs/>
                <w:kern w:val="2"/>
                <w:sz w:val="18"/>
                <w:szCs w:val="18"/>
                <w:lang w:val="en-US" w:eastAsia="zh-CN" w:bidi="ar-SA"/>
              </w:rPr>
              <w:t>5</w:t>
            </w:r>
          </w:p>
        </w:tc>
        <w:tc>
          <w:tcPr>
            <w:tcW w:w="1286" w:type="dxa"/>
            <w:vMerge w:val="restart"/>
            <w:vAlign w:val="center"/>
          </w:tcPr>
          <w:p w14:paraId="6D78471A">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病案借阅</w:t>
            </w:r>
          </w:p>
        </w:tc>
        <w:tc>
          <w:tcPr>
            <w:tcW w:w="1985" w:type="dxa"/>
            <w:vAlign w:val="center"/>
          </w:tcPr>
          <w:p w14:paraId="6E28612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借阅申请</w:t>
            </w:r>
          </w:p>
        </w:tc>
        <w:tc>
          <w:tcPr>
            <w:tcW w:w="7009" w:type="dxa"/>
            <w:vAlign w:val="center"/>
          </w:tcPr>
          <w:p w14:paraId="33FB1F15">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支持前台医护人员或科室、科研人员等需要浏览电子归档病案时，对归档电子病案提交借阅申请</w:t>
            </w:r>
          </w:p>
        </w:tc>
      </w:tr>
      <w:tr w14:paraId="4EE4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16BC3B35">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53BA850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26839C5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借阅审核</w:t>
            </w:r>
          </w:p>
        </w:tc>
        <w:tc>
          <w:tcPr>
            <w:tcW w:w="7009" w:type="dxa"/>
            <w:vAlign w:val="center"/>
          </w:tcPr>
          <w:p w14:paraId="635036AF">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支持病案管理后台对各科室提交的借阅申请进行审核，只有审核通过后的病案，方可进行浏览。</w:t>
            </w:r>
          </w:p>
        </w:tc>
      </w:tr>
      <w:tr w14:paraId="24E7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02D46DB0">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30F4278A">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713DA4D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借阅时间权限控制</w:t>
            </w:r>
          </w:p>
        </w:tc>
        <w:tc>
          <w:tcPr>
            <w:tcW w:w="7009" w:type="dxa"/>
            <w:vAlign w:val="center"/>
          </w:tcPr>
          <w:p w14:paraId="40E72710">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支持对借阅的病案进行时间权限的控制，借阅时间过后，系统即可自动收回查阅的病案。</w:t>
            </w:r>
          </w:p>
        </w:tc>
      </w:tr>
      <w:tr w14:paraId="4CD4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restart"/>
            <w:vAlign w:val="center"/>
          </w:tcPr>
          <w:p w14:paraId="7EB14B79">
            <w:pPr>
              <w:keepNext w:val="0"/>
              <w:keepLines w:val="0"/>
              <w:pageBreakBefore w:val="0"/>
              <w:widowControl w:val="0"/>
              <w:numPr>
                <w:ilvl w:val="0"/>
                <w:numId w:val="0"/>
              </w:numPr>
              <w:kinsoku/>
              <w:wordWrap/>
              <w:overflowPunct/>
              <w:topLinePunct w:val="0"/>
              <w:autoSpaceDE/>
              <w:autoSpaceDN/>
              <w:bidi w:val="0"/>
              <w:spacing w:line="240" w:lineRule="atLeast"/>
              <w:ind w:left="425" w:leftChars="0" w:hanging="425" w:firstLineChars="0"/>
              <w:jc w:val="center"/>
              <w:textAlignment w:val="auto"/>
              <w:rPr>
                <w:rFonts w:hint="eastAsia" w:ascii="仿宋_GB2312" w:hAnsi="仿宋_GB2312" w:eastAsia="仿宋_GB2312" w:cs="仿宋_GB2312"/>
                <w:bCs/>
                <w:sz w:val="18"/>
                <w:szCs w:val="18"/>
              </w:rPr>
            </w:pPr>
            <w:r>
              <w:rPr>
                <w:rFonts w:hint="default" w:ascii="仿宋_GB2312" w:hAnsi="仿宋_GB2312" w:eastAsia="仿宋_GB2312" w:cs="仿宋_GB2312"/>
                <w:bCs/>
                <w:kern w:val="2"/>
                <w:sz w:val="18"/>
                <w:szCs w:val="18"/>
                <w:lang w:val="en-US" w:eastAsia="zh-CN" w:bidi="ar-SA"/>
              </w:rPr>
              <w:t>6</w:t>
            </w:r>
          </w:p>
        </w:tc>
        <w:tc>
          <w:tcPr>
            <w:tcW w:w="1286" w:type="dxa"/>
            <w:vMerge w:val="restart"/>
            <w:vAlign w:val="center"/>
          </w:tcPr>
          <w:p w14:paraId="6D0B4D9C">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纸质病案数字化管理</w:t>
            </w:r>
          </w:p>
        </w:tc>
        <w:tc>
          <w:tcPr>
            <w:tcW w:w="1985" w:type="dxa"/>
            <w:vAlign w:val="center"/>
          </w:tcPr>
          <w:p w14:paraId="574F7DB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纸质病案扫描上传</w:t>
            </w:r>
          </w:p>
        </w:tc>
        <w:tc>
          <w:tcPr>
            <w:tcW w:w="7009" w:type="dxa"/>
            <w:vAlign w:val="center"/>
          </w:tcPr>
          <w:p w14:paraId="48F12469">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系统能够支持简单检索、根据条码上传，自动挂接。</w:t>
            </w:r>
          </w:p>
        </w:tc>
      </w:tr>
      <w:tr w14:paraId="5F1A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17F7CFB4">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04D22111">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6EEC1FF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设备对接</w:t>
            </w:r>
          </w:p>
        </w:tc>
        <w:tc>
          <w:tcPr>
            <w:tcW w:w="7009" w:type="dxa"/>
            <w:vAlign w:val="center"/>
          </w:tcPr>
          <w:p w14:paraId="5BAA24FE">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sz w:val="18"/>
                <w:szCs w:val="18"/>
              </w:rPr>
              <w:t>系统能实现高速扫描仪，高拍仪，非接触式扫描仪等拍摄设备的对接，实现纸质病案的数字化扫描。</w:t>
            </w:r>
          </w:p>
        </w:tc>
      </w:tr>
      <w:tr w14:paraId="3747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26BD3BE2">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3737F4E9">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56D1C13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追加上传</w:t>
            </w:r>
          </w:p>
        </w:tc>
        <w:tc>
          <w:tcPr>
            <w:tcW w:w="7009" w:type="dxa"/>
            <w:vAlign w:val="center"/>
          </w:tcPr>
          <w:p w14:paraId="5C6FDF5D">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扫描过的病案能够进行追加或修改内容。</w:t>
            </w:r>
          </w:p>
        </w:tc>
      </w:tr>
      <w:tr w14:paraId="0C9DF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5E5633C4">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6D17F98A">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3924D248">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日志管理</w:t>
            </w:r>
          </w:p>
        </w:tc>
        <w:tc>
          <w:tcPr>
            <w:tcW w:w="7009" w:type="dxa"/>
            <w:vAlign w:val="center"/>
          </w:tcPr>
          <w:p w14:paraId="571836C9">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提供病案复印、操作日志、扫描日志。</w:t>
            </w:r>
          </w:p>
        </w:tc>
      </w:tr>
      <w:tr w14:paraId="2B03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655A26F8">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2C0F6EEC">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104A6272">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生产工作量统计</w:t>
            </w:r>
          </w:p>
        </w:tc>
        <w:tc>
          <w:tcPr>
            <w:tcW w:w="7009" w:type="dxa"/>
            <w:vAlign w:val="center"/>
          </w:tcPr>
          <w:p w14:paraId="6C1E2ED1">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提供纸质病案扫描工作量统计。</w:t>
            </w:r>
          </w:p>
        </w:tc>
      </w:tr>
      <w:tr w14:paraId="35B1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18B2649F">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46B63D15">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5AC02AAF">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病案内容分类</w:t>
            </w:r>
          </w:p>
        </w:tc>
        <w:tc>
          <w:tcPr>
            <w:tcW w:w="7009" w:type="dxa"/>
            <w:vAlign w:val="center"/>
          </w:tcPr>
          <w:p w14:paraId="1E04068E">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系统支持对纸质病案扫描后数字化影像内容的系统AI智能分类，以提高病案扫描数字化的工作效率。病案内容按页为单位进行分类，以便实现分组打印，分为两种方式，一种为人工分类，一种为系统AI自动识别，对于历史数据，支持使用系统进行识别分类（人工校对矫正），系统支持本地化运行，断网可正常运行。</w:t>
            </w:r>
          </w:p>
        </w:tc>
      </w:tr>
      <w:tr w14:paraId="4AE7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474A554F">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58F9DBA8">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1BC53F08">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PDF合并</w:t>
            </w:r>
          </w:p>
        </w:tc>
        <w:tc>
          <w:tcPr>
            <w:tcW w:w="7009" w:type="dxa"/>
            <w:vAlign w:val="center"/>
          </w:tcPr>
          <w:p w14:paraId="12E38D0E">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可以实现PDF文件合并上传。</w:t>
            </w:r>
          </w:p>
        </w:tc>
      </w:tr>
      <w:tr w14:paraId="4E256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restart"/>
            <w:vAlign w:val="center"/>
          </w:tcPr>
          <w:p w14:paraId="76C5FA9E">
            <w:pPr>
              <w:keepNext w:val="0"/>
              <w:keepLines w:val="0"/>
              <w:pageBreakBefore w:val="0"/>
              <w:widowControl w:val="0"/>
              <w:numPr>
                <w:ilvl w:val="0"/>
                <w:numId w:val="0"/>
              </w:numPr>
              <w:kinsoku/>
              <w:wordWrap/>
              <w:overflowPunct/>
              <w:topLinePunct w:val="0"/>
              <w:autoSpaceDE/>
              <w:autoSpaceDN/>
              <w:bidi w:val="0"/>
              <w:spacing w:line="240" w:lineRule="atLeast"/>
              <w:ind w:left="425" w:leftChars="0" w:hanging="425" w:firstLineChars="0"/>
              <w:jc w:val="center"/>
              <w:textAlignment w:val="auto"/>
              <w:rPr>
                <w:rFonts w:hint="eastAsia" w:ascii="仿宋_GB2312" w:hAnsi="仿宋_GB2312" w:eastAsia="仿宋_GB2312" w:cs="仿宋_GB2312"/>
                <w:bCs/>
                <w:sz w:val="18"/>
                <w:szCs w:val="18"/>
              </w:rPr>
            </w:pPr>
            <w:r>
              <w:rPr>
                <w:rFonts w:hint="default" w:ascii="仿宋_GB2312" w:hAnsi="仿宋_GB2312" w:eastAsia="仿宋_GB2312" w:cs="仿宋_GB2312"/>
                <w:bCs/>
                <w:kern w:val="2"/>
                <w:sz w:val="18"/>
                <w:szCs w:val="18"/>
                <w:lang w:val="en-US" w:eastAsia="zh-CN" w:bidi="ar-SA"/>
              </w:rPr>
              <w:t>7</w:t>
            </w:r>
          </w:p>
        </w:tc>
        <w:tc>
          <w:tcPr>
            <w:tcW w:w="1286" w:type="dxa"/>
            <w:vMerge w:val="restart"/>
            <w:vAlign w:val="center"/>
          </w:tcPr>
          <w:p w14:paraId="6984A64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安全与权限管理</w:t>
            </w:r>
          </w:p>
        </w:tc>
        <w:tc>
          <w:tcPr>
            <w:tcW w:w="1985" w:type="dxa"/>
            <w:vAlign w:val="center"/>
          </w:tcPr>
          <w:p w14:paraId="46531E6F">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日志记录</w:t>
            </w:r>
          </w:p>
        </w:tc>
        <w:tc>
          <w:tcPr>
            <w:tcW w:w="7009" w:type="dxa"/>
            <w:vAlign w:val="center"/>
          </w:tcPr>
          <w:p w14:paraId="49404478">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归档日志提供了电子病历归档过程的详细日志，确保每份病案归档都有日志记录；打印日志完整记录了已经打印的归档病案的内容和数量，以及打印人、打印时间等。</w:t>
            </w:r>
          </w:p>
        </w:tc>
      </w:tr>
      <w:tr w14:paraId="4C49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2A3F893A">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5A87554E">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657AB6C1">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权限控制</w:t>
            </w:r>
          </w:p>
        </w:tc>
        <w:tc>
          <w:tcPr>
            <w:tcW w:w="7009" w:type="dxa"/>
            <w:vAlign w:val="center"/>
          </w:tcPr>
          <w:p w14:paraId="2E02CA0F">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系统支持多种不同形式的权限控制，如角色管理、用户管理、病案的浏览权限、打印权限严格控制，可实现页面级的权限控制。</w:t>
            </w:r>
          </w:p>
        </w:tc>
      </w:tr>
      <w:tr w14:paraId="44FE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655318C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141038CE">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4DFB5C17">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动态水印</w:t>
            </w:r>
          </w:p>
        </w:tc>
        <w:tc>
          <w:tcPr>
            <w:tcW w:w="7009" w:type="dxa"/>
            <w:vAlign w:val="center"/>
          </w:tcPr>
          <w:p w14:paraId="2A0DAA18">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为了防止病案浏览人员通过屏幕拷贝等方式打印电子病案，提供浏览的电子病案均带有动态水印，即动态记录当前的用户名、IP、时间等信息。</w:t>
            </w:r>
          </w:p>
        </w:tc>
      </w:tr>
      <w:tr w14:paraId="6FA13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restart"/>
            <w:vAlign w:val="center"/>
          </w:tcPr>
          <w:p w14:paraId="6FEB1756">
            <w:pPr>
              <w:keepNext w:val="0"/>
              <w:keepLines w:val="0"/>
              <w:pageBreakBefore w:val="0"/>
              <w:widowControl w:val="0"/>
              <w:numPr>
                <w:ilvl w:val="0"/>
                <w:numId w:val="0"/>
              </w:numPr>
              <w:kinsoku/>
              <w:wordWrap/>
              <w:overflowPunct/>
              <w:topLinePunct w:val="0"/>
              <w:autoSpaceDE/>
              <w:autoSpaceDN/>
              <w:bidi w:val="0"/>
              <w:spacing w:line="240" w:lineRule="atLeast"/>
              <w:ind w:left="425" w:leftChars="0" w:hanging="425" w:firstLineChars="0"/>
              <w:jc w:val="center"/>
              <w:textAlignment w:val="auto"/>
              <w:rPr>
                <w:rFonts w:hint="eastAsia" w:ascii="仿宋_GB2312" w:hAnsi="仿宋_GB2312" w:eastAsia="仿宋_GB2312" w:cs="仿宋_GB2312"/>
                <w:bCs/>
                <w:sz w:val="18"/>
                <w:szCs w:val="18"/>
              </w:rPr>
            </w:pPr>
            <w:r>
              <w:rPr>
                <w:rFonts w:hint="default" w:ascii="仿宋_GB2312" w:hAnsi="仿宋_GB2312" w:eastAsia="仿宋_GB2312" w:cs="仿宋_GB2312"/>
                <w:bCs/>
                <w:kern w:val="2"/>
                <w:sz w:val="18"/>
                <w:szCs w:val="18"/>
                <w:lang w:val="en-US" w:eastAsia="zh-CN" w:bidi="ar-SA"/>
              </w:rPr>
              <w:t>8</w:t>
            </w:r>
          </w:p>
        </w:tc>
        <w:tc>
          <w:tcPr>
            <w:tcW w:w="1286" w:type="dxa"/>
            <w:vMerge w:val="restart"/>
            <w:vAlign w:val="center"/>
          </w:tcPr>
          <w:p w14:paraId="5C998522">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归档助手</w:t>
            </w:r>
          </w:p>
        </w:tc>
        <w:tc>
          <w:tcPr>
            <w:tcW w:w="1985" w:type="dxa"/>
            <w:vAlign w:val="center"/>
          </w:tcPr>
          <w:p w14:paraId="7F564F3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支持与任意编码系统对接</w:t>
            </w:r>
          </w:p>
        </w:tc>
        <w:tc>
          <w:tcPr>
            <w:tcW w:w="7009" w:type="dxa"/>
            <w:vAlign w:val="center"/>
          </w:tcPr>
          <w:p w14:paraId="6FEEE5C8">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对接病案室所使用的任意病案编码系统，无接口实现挂接。</w:t>
            </w:r>
          </w:p>
        </w:tc>
      </w:tr>
      <w:tr w14:paraId="3D6B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6C74DC45">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15D54E18">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2D54367F">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查看整份病案</w:t>
            </w:r>
          </w:p>
        </w:tc>
        <w:tc>
          <w:tcPr>
            <w:tcW w:w="7009" w:type="dxa"/>
            <w:vAlign w:val="center"/>
          </w:tcPr>
          <w:p w14:paraId="38D60130">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sz w:val="18"/>
                <w:szCs w:val="18"/>
              </w:rPr>
              <w:t>能够在不对现有系统进行技术改造的情况下实现在任意第三方系统实现调阅整份归档病案的功能。</w:t>
            </w:r>
          </w:p>
        </w:tc>
      </w:tr>
      <w:tr w14:paraId="4F08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59CD6C6E">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1CCF2861">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7CCD657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质控通知下发</w:t>
            </w:r>
          </w:p>
        </w:tc>
        <w:tc>
          <w:tcPr>
            <w:tcW w:w="7009" w:type="dxa"/>
            <w:vAlign w:val="center"/>
          </w:tcPr>
          <w:p w14:paraId="27E4D5D3">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sz w:val="18"/>
                <w:szCs w:val="18"/>
              </w:rPr>
              <w:t>针对质控过程中发现的质控问题进行质控通知下发推送给相应的人员进行整改。</w:t>
            </w:r>
          </w:p>
        </w:tc>
      </w:tr>
      <w:tr w14:paraId="05E6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07BE3368">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3E12879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065C5D8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查看病理报告</w:t>
            </w:r>
          </w:p>
        </w:tc>
        <w:tc>
          <w:tcPr>
            <w:tcW w:w="7009" w:type="dxa"/>
            <w:vAlign w:val="center"/>
          </w:tcPr>
          <w:p w14:paraId="00486B97">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sz w:val="18"/>
                <w:szCs w:val="18"/>
              </w:rPr>
              <w:t>实现有针对性的查看病理报告，同时可实现报告内容的复制。</w:t>
            </w:r>
          </w:p>
        </w:tc>
      </w:tr>
      <w:tr w14:paraId="28C36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restart"/>
            <w:vAlign w:val="center"/>
          </w:tcPr>
          <w:p w14:paraId="09AA8847">
            <w:pPr>
              <w:keepNext w:val="0"/>
              <w:keepLines w:val="0"/>
              <w:pageBreakBefore w:val="0"/>
              <w:widowControl w:val="0"/>
              <w:numPr>
                <w:ilvl w:val="0"/>
                <w:numId w:val="0"/>
              </w:numPr>
              <w:kinsoku/>
              <w:wordWrap/>
              <w:overflowPunct/>
              <w:topLinePunct w:val="0"/>
              <w:autoSpaceDE/>
              <w:autoSpaceDN/>
              <w:bidi w:val="0"/>
              <w:spacing w:line="240" w:lineRule="atLeast"/>
              <w:ind w:left="425" w:leftChars="0" w:hanging="425" w:firstLineChars="0"/>
              <w:jc w:val="center"/>
              <w:textAlignment w:val="auto"/>
              <w:rPr>
                <w:rFonts w:hint="eastAsia" w:ascii="仿宋_GB2312" w:hAnsi="仿宋_GB2312" w:eastAsia="仿宋_GB2312" w:cs="仿宋_GB2312"/>
                <w:bCs/>
                <w:sz w:val="18"/>
                <w:szCs w:val="18"/>
              </w:rPr>
            </w:pPr>
            <w:r>
              <w:rPr>
                <w:rFonts w:hint="default" w:ascii="仿宋_GB2312" w:hAnsi="仿宋_GB2312" w:eastAsia="仿宋_GB2312" w:cs="仿宋_GB2312"/>
                <w:bCs/>
                <w:kern w:val="2"/>
                <w:sz w:val="18"/>
                <w:szCs w:val="18"/>
                <w:lang w:val="en-US" w:eastAsia="zh-CN" w:bidi="ar-SA"/>
              </w:rPr>
              <w:t>9</w:t>
            </w:r>
          </w:p>
        </w:tc>
        <w:tc>
          <w:tcPr>
            <w:tcW w:w="1286" w:type="dxa"/>
            <w:vMerge w:val="restart"/>
            <w:vAlign w:val="center"/>
          </w:tcPr>
          <w:p w14:paraId="525CDA0F">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病案回收管理</w:t>
            </w:r>
          </w:p>
        </w:tc>
        <w:tc>
          <w:tcPr>
            <w:tcW w:w="1985" w:type="dxa"/>
            <w:vAlign w:val="center"/>
          </w:tcPr>
          <w:p w14:paraId="6C23D9B2">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回收病案查询</w:t>
            </w:r>
          </w:p>
        </w:tc>
        <w:tc>
          <w:tcPr>
            <w:tcW w:w="7009" w:type="dxa"/>
            <w:vAlign w:val="center"/>
          </w:tcPr>
          <w:p w14:paraId="46FDB0DE">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支持通过病案号、姓名、出院科室、回收时间、出院时间等对回收病案进行查询。</w:t>
            </w:r>
          </w:p>
        </w:tc>
      </w:tr>
      <w:tr w14:paraId="1C59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1C1FFD41">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0DF3D132">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0A6BBC70">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单份回收</w:t>
            </w:r>
          </w:p>
        </w:tc>
        <w:tc>
          <w:tcPr>
            <w:tcW w:w="7009" w:type="dxa"/>
            <w:vAlign w:val="center"/>
          </w:tcPr>
          <w:p w14:paraId="2782375D">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系统支持对单份病案进行回收登记。</w:t>
            </w:r>
          </w:p>
        </w:tc>
      </w:tr>
      <w:tr w14:paraId="321B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36C15A9D">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26DCEFC8">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4D65F231">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批量回收</w:t>
            </w:r>
          </w:p>
        </w:tc>
        <w:tc>
          <w:tcPr>
            <w:tcW w:w="7009" w:type="dxa"/>
            <w:vAlign w:val="center"/>
          </w:tcPr>
          <w:p w14:paraId="617F885C">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系统支持对回收病案进行批量回收。</w:t>
            </w:r>
          </w:p>
        </w:tc>
      </w:tr>
      <w:tr w14:paraId="74ECD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1116C18F">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4C645192">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75580904">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回收统计</w:t>
            </w:r>
          </w:p>
        </w:tc>
        <w:tc>
          <w:tcPr>
            <w:tcW w:w="7009" w:type="dxa"/>
            <w:vAlign w:val="center"/>
          </w:tcPr>
          <w:p w14:paraId="4728EB76">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对回收的病案进行汇总，查询各科室回收的病案数量。</w:t>
            </w:r>
          </w:p>
        </w:tc>
      </w:tr>
      <w:tr w14:paraId="5DCB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restart"/>
            <w:vAlign w:val="center"/>
          </w:tcPr>
          <w:p w14:paraId="3331D6C9">
            <w:pPr>
              <w:keepNext w:val="0"/>
              <w:keepLines w:val="0"/>
              <w:pageBreakBefore w:val="0"/>
              <w:widowControl w:val="0"/>
              <w:numPr>
                <w:ilvl w:val="0"/>
                <w:numId w:val="0"/>
              </w:numPr>
              <w:kinsoku/>
              <w:wordWrap/>
              <w:overflowPunct/>
              <w:topLinePunct w:val="0"/>
              <w:autoSpaceDE/>
              <w:autoSpaceDN/>
              <w:bidi w:val="0"/>
              <w:spacing w:line="240" w:lineRule="atLeast"/>
              <w:ind w:left="425" w:leftChars="0" w:hanging="425" w:firstLineChars="0"/>
              <w:jc w:val="center"/>
              <w:textAlignment w:val="auto"/>
              <w:rPr>
                <w:rFonts w:hint="eastAsia" w:ascii="仿宋_GB2312" w:hAnsi="仿宋_GB2312" w:eastAsia="仿宋_GB2312" w:cs="仿宋_GB2312"/>
                <w:bCs/>
                <w:sz w:val="18"/>
                <w:szCs w:val="18"/>
              </w:rPr>
            </w:pPr>
            <w:r>
              <w:rPr>
                <w:rFonts w:hint="default" w:ascii="仿宋_GB2312" w:hAnsi="仿宋_GB2312" w:eastAsia="仿宋_GB2312" w:cs="仿宋_GB2312"/>
                <w:bCs/>
                <w:kern w:val="2"/>
                <w:sz w:val="18"/>
                <w:szCs w:val="18"/>
                <w:lang w:val="en-US" w:eastAsia="zh-CN" w:bidi="ar-SA"/>
              </w:rPr>
              <w:t>10</w:t>
            </w:r>
          </w:p>
        </w:tc>
        <w:tc>
          <w:tcPr>
            <w:tcW w:w="1286" w:type="dxa"/>
            <w:vMerge w:val="restart"/>
            <w:vAlign w:val="center"/>
          </w:tcPr>
          <w:p w14:paraId="52E8007D">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病案示踪管理</w:t>
            </w:r>
          </w:p>
        </w:tc>
        <w:tc>
          <w:tcPr>
            <w:tcW w:w="1985" w:type="dxa"/>
            <w:vAlign w:val="center"/>
          </w:tcPr>
          <w:p w14:paraId="1A301E9A">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病案示踪查询</w:t>
            </w:r>
          </w:p>
        </w:tc>
        <w:tc>
          <w:tcPr>
            <w:tcW w:w="7009" w:type="dxa"/>
            <w:vAlign w:val="center"/>
          </w:tcPr>
          <w:p w14:paraId="4FA6D1A9">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根据检索条件查询纸质病案的存放位置。</w:t>
            </w:r>
          </w:p>
        </w:tc>
      </w:tr>
      <w:tr w14:paraId="4F9B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3DA68AB0">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392B4C57">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57156251">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仓储存放信息管理</w:t>
            </w:r>
          </w:p>
        </w:tc>
        <w:tc>
          <w:tcPr>
            <w:tcW w:w="7009" w:type="dxa"/>
            <w:vAlign w:val="center"/>
          </w:tcPr>
          <w:p w14:paraId="11E077E9">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添加与管理仓储信息。</w:t>
            </w:r>
          </w:p>
        </w:tc>
      </w:tr>
      <w:tr w14:paraId="184B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4C53FFFE">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3FC149DE">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68383C9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病案装袋管理</w:t>
            </w:r>
          </w:p>
        </w:tc>
        <w:tc>
          <w:tcPr>
            <w:tcW w:w="7009" w:type="dxa"/>
            <w:vAlign w:val="center"/>
          </w:tcPr>
          <w:p w14:paraId="6BDEE053">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单份或多份病案进行装袋管理，并打印装袋明细。</w:t>
            </w:r>
          </w:p>
        </w:tc>
      </w:tr>
      <w:tr w14:paraId="7886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05F6E97C">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5A6AC1E0">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44215587">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病案袋上架下架管理</w:t>
            </w:r>
          </w:p>
        </w:tc>
        <w:tc>
          <w:tcPr>
            <w:tcW w:w="7009" w:type="dxa"/>
            <w:vAlign w:val="center"/>
          </w:tcPr>
          <w:p w14:paraId="53430937">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病案装袋后进行上架、下架等存放管理。</w:t>
            </w:r>
          </w:p>
        </w:tc>
      </w:tr>
      <w:tr w14:paraId="43DD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0224433D">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6663A69C">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78453589">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库位管理</w:t>
            </w:r>
          </w:p>
        </w:tc>
        <w:tc>
          <w:tcPr>
            <w:tcW w:w="7009" w:type="dxa"/>
            <w:vAlign w:val="center"/>
          </w:tcPr>
          <w:p w14:paraId="1A7E2010">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对于病案存档的档案室，能够在系统中维护存档库位，对其进行增、删、查、改。</w:t>
            </w:r>
          </w:p>
        </w:tc>
      </w:tr>
      <w:tr w14:paraId="4AEA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restart"/>
            <w:vAlign w:val="center"/>
          </w:tcPr>
          <w:p w14:paraId="57C07B0C">
            <w:pPr>
              <w:keepNext w:val="0"/>
              <w:keepLines w:val="0"/>
              <w:pageBreakBefore w:val="0"/>
              <w:widowControl w:val="0"/>
              <w:numPr>
                <w:ilvl w:val="0"/>
                <w:numId w:val="0"/>
              </w:numPr>
              <w:kinsoku/>
              <w:wordWrap/>
              <w:overflowPunct/>
              <w:topLinePunct w:val="0"/>
              <w:autoSpaceDE/>
              <w:autoSpaceDN/>
              <w:bidi w:val="0"/>
              <w:spacing w:line="240" w:lineRule="atLeast"/>
              <w:ind w:left="425" w:leftChars="0" w:hanging="425" w:firstLineChars="0"/>
              <w:jc w:val="center"/>
              <w:textAlignment w:val="auto"/>
              <w:rPr>
                <w:rFonts w:hint="eastAsia" w:ascii="仿宋_GB2312" w:hAnsi="仿宋_GB2312" w:eastAsia="仿宋_GB2312" w:cs="仿宋_GB2312"/>
                <w:bCs/>
                <w:sz w:val="18"/>
                <w:szCs w:val="18"/>
              </w:rPr>
            </w:pPr>
            <w:r>
              <w:rPr>
                <w:rFonts w:hint="default" w:ascii="仿宋_GB2312" w:hAnsi="仿宋_GB2312" w:eastAsia="仿宋_GB2312" w:cs="仿宋_GB2312"/>
                <w:bCs/>
                <w:kern w:val="2"/>
                <w:sz w:val="18"/>
                <w:szCs w:val="18"/>
                <w:lang w:val="en-US" w:eastAsia="zh-CN" w:bidi="ar-SA"/>
              </w:rPr>
              <w:t>11</w:t>
            </w:r>
          </w:p>
        </w:tc>
        <w:tc>
          <w:tcPr>
            <w:tcW w:w="1286" w:type="dxa"/>
            <w:vMerge w:val="restart"/>
            <w:vAlign w:val="center"/>
          </w:tcPr>
          <w:p w14:paraId="48A2852E">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病案浏览</w:t>
            </w:r>
          </w:p>
        </w:tc>
        <w:tc>
          <w:tcPr>
            <w:tcW w:w="1985" w:type="dxa"/>
            <w:vAlign w:val="center"/>
          </w:tcPr>
          <w:p w14:paraId="7A142BE4">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病案浏览</w:t>
            </w:r>
          </w:p>
        </w:tc>
        <w:tc>
          <w:tcPr>
            <w:tcW w:w="7009" w:type="dxa"/>
            <w:vAlign w:val="center"/>
          </w:tcPr>
          <w:p w14:paraId="7D193B3A">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系统支持电子病案PDF文件的浏览功能，支持病案列表选择，缩略图选择。病案浏览时支持对当前浏览页面的放大、缩小、适应宽度、适应高度等操作。</w:t>
            </w:r>
          </w:p>
        </w:tc>
      </w:tr>
      <w:tr w14:paraId="51CB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707F0D15">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090A6E8C">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4C41A0F9">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页面选中标识</w:t>
            </w:r>
          </w:p>
        </w:tc>
        <w:tc>
          <w:tcPr>
            <w:tcW w:w="7009" w:type="dxa"/>
            <w:vAlign w:val="center"/>
          </w:tcPr>
          <w:p w14:paraId="26B6E81F">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sz w:val="18"/>
                <w:szCs w:val="18"/>
              </w:rPr>
              <w:t>选择病案时要求在选中的病案页面缩略图上显示“已选中”标识，可以清晰展现选中的病案内容。</w:t>
            </w:r>
          </w:p>
        </w:tc>
      </w:tr>
      <w:tr w14:paraId="3CEE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restart"/>
            <w:vAlign w:val="center"/>
          </w:tcPr>
          <w:p w14:paraId="65948F23">
            <w:pPr>
              <w:keepNext w:val="0"/>
              <w:keepLines w:val="0"/>
              <w:pageBreakBefore w:val="0"/>
              <w:widowControl w:val="0"/>
              <w:numPr>
                <w:ilvl w:val="0"/>
                <w:numId w:val="0"/>
              </w:numPr>
              <w:kinsoku/>
              <w:wordWrap/>
              <w:overflowPunct/>
              <w:topLinePunct w:val="0"/>
              <w:autoSpaceDE/>
              <w:autoSpaceDN/>
              <w:bidi w:val="0"/>
              <w:spacing w:line="240" w:lineRule="atLeast"/>
              <w:ind w:left="425" w:leftChars="0" w:hanging="425" w:firstLineChars="0"/>
              <w:jc w:val="center"/>
              <w:textAlignment w:val="auto"/>
              <w:rPr>
                <w:rFonts w:hint="eastAsia" w:ascii="仿宋_GB2312" w:hAnsi="仿宋_GB2312" w:eastAsia="仿宋_GB2312" w:cs="仿宋_GB2312"/>
                <w:bCs/>
                <w:sz w:val="18"/>
                <w:szCs w:val="18"/>
              </w:rPr>
            </w:pPr>
            <w:r>
              <w:rPr>
                <w:rFonts w:hint="default" w:ascii="仿宋_GB2312" w:hAnsi="仿宋_GB2312" w:eastAsia="仿宋_GB2312" w:cs="仿宋_GB2312"/>
                <w:bCs/>
                <w:kern w:val="2"/>
                <w:sz w:val="18"/>
                <w:szCs w:val="18"/>
                <w:lang w:val="en-US" w:eastAsia="zh-CN" w:bidi="ar-SA"/>
              </w:rPr>
              <w:t>12</w:t>
            </w:r>
          </w:p>
        </w:tc>
        <w:tc>
          <w:tcPr>
            <w:tcW w:w="1286" w:type="dxa"/>
            <w:vMerge w:val="restart"/>
            <w:vAlign w:val="center"/>
          </w:tcPr>
          <w:p w14:paraId="6A9F9A75">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死亡或非医嘱离院病案管理</w:t>
            </w:r>
          </w:p>
        </w:tc>
        <w:tc>
          <w:tcPr>
            <w:tcW w:w="1985" w:type="dxa"/>
            <w:vAlign w:val="center"/>
          </w:tcPr>
          <w:p w14:paraId="0CC71F98">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数据导出管理</w:t>
            </w:r>
          </w:p>
        </w:tc>
        <w:tc>
          <w:tcPr>
            <w:tcW w:w="7009" w:type="dxa"/>
            <w:vAlign w:val="center"/>
          </w:tcPr>
          <w:p w14:paraId="52066B17">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sz w:val="18"/>
                <w:szCs w:val="18"/>
              </w:rPr>
              <w:t>支持根据《国家卫生健康委办公厅关于开展死亡和非医嘱离院病案报告工作的通知》（国卫办医政函【2024】96号文）的要求对医院死亡或非医嘱离院病案的数据导出管理功能。</w:t>
            </w:r>
          </w:p>
        </w:tc>
      </w:tr>
      <w:tr w14:paraId="708F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59CEA61A">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2124E8A2">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6CCA870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分类字典管理</w:t>
            </w:r>
          </w:p>
        </w:tc>
        <w:tc>
          <w:tcPr>
            <w:tcW w:w="7009" w:type="dxa"/>
            <w:vAlign w:val="center"/>
          </w:tcPr>
          <w:p w14:paraId="5EADE092">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支持对死亡或非医嘱分类字典管理，根据需要对上报的病案分类字典进行修改与维护。</w:t>
            </w:r>
          </w:p>
        </w:tc>
      </w:tr>
      <w:tr w14:paraId="272E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3494510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1E06A4FE">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19F86DBF">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查询功能</w:t>
            </w:r>
          </w:p>
        </w:tc>
        <w:tc>
          <w:tcPr>
            <w:tcW w:w="7009" w:type="dxa"/>
            <w:vAlign w:val="center"/>
          </w:tcPr>
          <w:p w14:paraId="319D3002">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支持对医院死亡或非医嘱离院病案的查询与批量查询功能。</w:t>
            </w:r>
          </w:p>
        </w:tc>
      </w:tr>
      <w:tr w14:paraId="2F86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144D4720">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7B5E9A31">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1356CE37">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导出格式</w:t>
            </w:r>
          </w:p>
        </w:tc>
        <w:tc>
          <w:tcPr>
            <w:tcW w:w="7009" w:type="dxa"/>
            <w:vAlign w:val="center"/>
          </w:tcPr>
          <w:p w14:paraId="7FD53A11">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支持对医院死亡或非医嘱离院病案数据的导出功能，同时支持导出的PDF文件自动加入符合要求的分类书签后，按照&lt;省份名&gt;_&lt;医院名称&gt;_&lt;病案号&gt;_&lt;出院日期(年月日)&gt;”格式进行保存。</w:t>
            </w:r>
          </w:p>
        </w:tc>
      </w:tr>
      <w:tr w14:paraId="34640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restart"/>
            <w:vAlign w:val="center"/>
          </w:tcPr>
          <w:p w14:paraId="39C084CD">
            <w:pPr>
              <w:keepNext w:val="0"/>
              <w:keepLines w:val="0"/>
              <w:pageBreakBefore w:val="0"/>
              <w:widowControl w:val="0"/>
              <w:numPr>
                <w:ilvl w:val="0"/>
                <w:numId w:val="0"/>
              </w:numPr>
              <w:kinsoku/>
              <w:wordWrap/>
              <w:overflowPunct/>
              <w:topLinePunct w:val="0"/>
              <w:autoSpaceDE/>
              <w:autoSpaceDN/>
              <w:bidi w:val="0"/>
              <w:spacing w:line="240" w:lineRule="atLeast"/>
              <w:ind w:left="425" w:leftChars="0" w:hanging="425" w:firstLineChars="0"/>
              <w:jc w:val="center"/>
              <w:textAlignment w:val="auto"/>
              <w:rPr>
                <w:rFonts w:hint="eastAsia" w:ascii="仿宋_GB2312" w:hAnsi="仿宋_GB2312" w:eastAsia="仿宋_GB2312" w:cs="仿宋_GB2312"/>
                <w:bCs/>
                <w:sz w:val="18"/>
                <w:szCs w:val="18"/>
              </w:rPr>
            </w:pPr>
            <w:r>
              <w:rPr>
                <w:rFonts w:hint="default" w:ascii="仿宋_GB2312" w:hAnsi="仿宋_GB2312" w:eastAsia="仿宋_GB2312" w:cs="仿宋_GB2312"/>
                <w:bCs/>
                <w:kern w:val="2"/>
                <w:sz w:val="18"/>
                <w:szCs w:val="18"/>
                <w:lang w:val="en-US" w:eastAsia="zh-CN" w:bidi="ar-SA"/>
              </w:rPr>
              <w:t>13</w:t>
            </w:r>
          </w:p>
        </w:tc>
        <w:tc>
          <w:tcPr>
            <w:tcW w:w="1286" w:type="dxa"/>
            <w:vMerge w:val="restart"/>
            <w:vAlign w:val="center"/>
          </w:tcPr>
          <w:p w14:paraId="6CFA11E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其他功能</w:t>
            </w:r>
          </w:p>
        </w:tc>
        <w:tc>
          <w:tcPr>
            <w:tcW w:w="1985" w:type="dxa"/>
            <w:vAlign w:val="center"/>
          </w:tcPr>
          <w:p w14:paraId="21402DD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归档病案的终末质控</w:t>
            </w:r>
          </w:p>
        </w:tc>
        <w:tc>
          <w:tcPr>
            <w:tcW w:w="7009" w:type="dxa"/>
            <w:vAlign w:val="center"/>
          </w:tcPr>
          <w:p w14:paraId="7667B811">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系统提供归档病案的终末质控，对已归档的病案，系统自动进行完整性核查，自动筛选出疑似少页，空内容的病案，系统针对筛选出的疑似缺项病案将形成错误报告</w:t>
            </w:r>
          </w:p>
        </w:tc>
      </w:tr>
      <w:tr w14:paraId="6D84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78B42C52">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2ECA2C69">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1BFB35F2">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病案返修二次归档</w:t>
            </w:r>
          </w:p>
        </w:tc>
        <w:tc>
          <w:tcPr>
            <w:tcW w:w="7009" w:type="dxa"/>
            <w:vAlign w:val="center"/>
          </w:tcPr>
          <w:p w14:paraId="691FF89C">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支持病案返修二次归档功能，病案提交返修后，由电子病历系统进行锁定，当返修时间到后，系统支持自动进行二次归档。病案返修二次归档后，系统进行查询使用的为最新归档的病案，返修前的归档病案在系统后台进行存储留痕。</w:t>
            </w:r>
          </w:p>
        </w:tc>
      </w:tr>
      <w:tr w14:paraId="581C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0CBCAAF4">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49F19B2F">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1793CF25">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归档日志管理</w:t>
            </w:r>
          </w:p>
        </w:tc>
        <w:tc>
          <w:tcPr>
            <w:tcW w:w="7009" w:type="dxa"/>
            <w:vAlign w:val="center"/>
          </w:tcPr>
          <w:p w14:paraId="7B5C7284">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归档日志提供了电子病历归档过程的详细日志，确保每份病历归档都有日志记录。</w:t>
            </w:r>
          </w:p>
        </w:tc>
      </w:tr>
      <w:tr w14:paraId="1956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49CD0159">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1E9636ED">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477EFF2E">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bookmarkStart w:id="5" w:name="_Toc148099676"/>
            <w:r>
              <w:rPr>
                <w:rFonts w:hint="eastAsia" w:ascii="仿宋_GB2312" w:hAnsi="仿宋_GB2312" w:eastAsia="仿宋_GB2312" w:cs="仿宋_GB2312"/>
                <w:sz w:val="18"/>
                <w:szCs w:val="18"/>
              </w:rPr>
              <w:t>统计报表</w:t>
            </w:r>
            <w:bookmarkEnd w:id="5"/>
          </w:p>
        </w:tc>
        <w:tc>
          <w:tcPr>
            <w:tcW w:w="7009" w:type="dxa"/>
            <w:vAlign w:val="center"/>
          </w:tcPr>
          <w:p w14:paraId="70B9AD82">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系统提供病案打印工作量统计，病案复印工作量统计、病案扫描工作量统计以及可定制相关统计报表。</w:t>
            </w:r>
          </w:p>
        </w:tc>
      </w:tr>
      <w:tr w14:paraId="6DAA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73C8622A">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16DBD039">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5288B82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病案归档时间轴</w:t>
            </w:r>
          </w:p>
        </w:tc>
        <w:tc>
          <w:tcPr>
            <w:tcW w:w="7009" w:type="dxa"/>
            <w:vAlign w:val="center"/>
          </w:tcPr>
          <w:p w14:paraId="07CB1C93">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每份病案从出院开始，至各个病案业务信息系统归档完成，如HIS、LIS、PACS、心电等等系统数据提取完成，均有若干的时间节点，清晰展示病案系统归档中的每一个过程、节点，对病案的操作都有可追溯性。</w:t>
            </w:r>
          </w:p>
        </w:tc>
      </w:tr>
      <w:tr w14:paraId="50C8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3FE3D153">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6EAF2F18">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0505A8B8">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外部数据接口</w:t>
            </w:r>
          </w:p>
        </w:tc>
        <w:tc>
          <w:tcPr>
            <w:tcW w:w="7009" w:type="dxa"/>
            <w:vAlign w:val="center"/>
          </w:tcPr>
          <w:p w14:paraId="2626278D">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系统支持开放整套PDF文件的对接接口，以及根据医院方的要求适当定制化相应接口给第三方调阅。接口支持PDF、DOC、HTML、TXT等多种格式供第三方调用，并且适应各种开发平台调用。</w:t>
            </w:r>
          </w:p>
        </w:tc>
      </w:tr>
      <w:tr w14:paraId="4486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32603F6C">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1B471058">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6F10AF2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历史病案数据整合</w:t>
            </w:r>
          </w:p>
        </w:tc>
        <w:tc>
          <w:tcPr>
            <w:tcW w:w="7009" w:type="dxa"/>
            <w:vAlign w:val="center"/>
          </w:tcPr>
          <w:p w14:paraId="0356708A">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系统支持与医院现已经完成的病案缩微数字化的历史病案的数据整合，与病案缩微数字化应用系统的数据对接，将历史缩微数字化病案影像数据整合在无纸化归档系统一个平台上进行应用，数据可实现在一个服务器统一存储。</w:t>
            </w:r>
          </w:p>
        </w:tc>
      </w:tr>
      <w:tr w14:paraId="78B7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2E49BFD1">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438A838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371D1B19">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bookmarkStart w:id="6" w:name="_Toc148099667"/>
            <w:r>
              <w:rPr>
                <w:rFonts w:hint="eastAsia" w:ascii="仿宋_GB2312" w:hAnsi="仿宋_GB2312" w:eastAsia="仿宋_GB2312" w:cs="仿宋_GB2312"/>
                <w:sz w:val="18"/>
                <w:szCs w:val="18"/>
              </w:rPr>
              <w:t>归档病案数字签名支持</w:t>
            </w:r>
            <w:bookmarkEnd w:id="6"/>
          </w:p>
        </w:tc>
        <w:tc>
          <w:tcPr>
            <w:tcW w:w="7009" w:type="dxa"/>
            <w:vAlign w:val="center"/>
          </w:tcPr>
          <w:p w14:paraId="00B2FC04">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为了保证已归档病案的文件安全，系统支持对归档病案文件进行电子签章处理；</w:t>
            </w:r>
          </w:p>
          <w:p w14:paraId="756DAAFF">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支持数字签名技术，支持符合电子签名法以及电子签名相关管理政策的第三方CA公司产品，使用国产加密算法对PDF文件进行终末签章，实现归档电子病案的电子签章加盖后上传归档。</w:t>
            </w:r>
          </w:p>
        </w:tc>
      </w:tr>
      <w:tr w14:paraId="25D8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55BFE1DB">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29EBF5E8">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6A915671">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归档病案存储</w:t>
            </w:r>
          </w:p>
        </w:tc>
        <w:tc>
          <w:tcPr>
            <w:tcW w:w="7009" w:type="dxa"/>
            <w:vAlign w:val="center"/>
          </w:tcPr>
          <w:p w14:paraId="760F575A">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以患者为中心的归档病案需建立分级存储结构。归档病案存储文件为通用格式的PDF文件，该PDF文件是矢量化的双层架构PDF文件，同时系统支持根据医院需要转存储为其他所需的格式。</w:t>
            </w:r>
          </w:p>
        </w:tc>
      </w:tr>
      <w:tr w14:paraId="4AFA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Merge w:val="continue"/>
            <w:vAlign w:val="center"/>
          </w:tcPr>
          <w:p w14:paraId="7FC4A384">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1C3BFE65">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625C0064">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bookmarkStart w:id="7" w:name="_Toc148099671"/>
            <w:r>
              <w:rPr>
                <w:rFonts w:hint="eastAsia" w:ascii="仿宋_GB2312" w:hAnsi="仿宋_GB2312" w:eastAsia="仿宋_GB2312" w:cs="仿宋_GB2312"/>
                <w:sz w:val="18"/>
                <w:szCs w:val="18"/>
              </w:rPr>
              <w:t>纸质知情同意书等内容扫描补全</w:t>
            </w:r>
            <w:bookmarkEnd w:id="7"/>
          </w:p>
        </w:tc>
        <w:tc>
          <w:tcPr>
            <w:tcW w:w="7009" w:type="dxa"/>
            <w:vAlign w:val="center"/>
          </w:tcPr>
          <w:p w14:paraId="03CD68FF">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对于患者或家属亲笔签字的知情同意书、授权委托书等签字、手工病历或外院报告单等相关医疗文书，采用高拍仪扫描的方式形成电子化，转换成标准的PDF格式与电子归档病案整合合并，并存储到病案归档服务器中</w:t>
            </w:r>
          </w:p>
        </w:tc>
      </w:tr>
      <w:tr w14:paraId="020B6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continue"/>
            <w:vAlign w:val="center"/>
          </w:tcPr>
          <w:p w14:paraId="1B8F4D61">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286" w:type="dxa"/>
            <w:vMerge w:val="continue"/>
            <w:vAlign w:val="center"/>
          </w:tcPr>
          <w:p w14:paraId="18E5DCBC">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366A0FB4">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bookmarkStart w:id="8" w:name="_Toc148099672"/>
            <w:r>
              <w:rPr>
                <w:rFonts w:hint="eastAsia" w:ascii="仿宋_GB2312" w:hAnsi="仿宋_GB2312" w:eastAsia="仿宋_GB2312" w:cs="仿宋_GB2312"/>
                <w:sz w:val="18"/>
                <w:szCs w:val="18"/>
              </w:rPr>
              <w:t>归档病案索引库</w:t>
            </w:r>
            <w:bookmarkEnd w:id="8"/>
          </w:p>
        </w:tc>
        <w:tc>
          <w:tcPr>
            <w:tcW w:w="7009" w:type="dxa"/>
            <w:vAlign w:val="center"/>
          </w:tcPr>
          <w:p w14:paraId="35BED71F">
            <w:pPr>
              <w:keepNext w:val="0"/>
              <w:keepLines w:val="0"/>
              <w:pageBreakBefore w:val="0"/>
              <w:widowControl w:val="0"/>
              <w:kinsoku/>
              <w:wordWrap/>
              <w:overflowPunct/>
              <w:topLinePunct w:val="0"/>
              <w:autoSpaceDE/>
              <w:autoSpaceDN/>
              <w:bidi w:val="0"/>
              <w:spacing w:line="240" w:lineRule="atLeas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sz w:val="18"/>
                <w:szCs w:val="18"/>
              </w:rPr>
              <w:t>系统支持建立以病案关键字为基础的电子病案索引库。并可根据要求以XML可扩展标记语言的方式开放给其他系统调用。</w:t>
            </w:r>
          </w:p>
        </w:tc>
      </w:tr>
      <w:tr w14:paraId="1985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Align w:val="center"/>
          </w:tcPr>
          <w:p w14:paraId="136B1C39">
            <w:pPr>
              <w:keepNext w:val="0"/>
              <w:keepLines w:val="0"/>
              <w:pageBreakBefore w:val="0"/>
              <w:widowControl w:val="0"/>
              <w:numPr>
                <w:ilvl w:val="0"/>
                <w:numId w:val="0"/>
              </w:numPr>
              <w:kinsoku/>
              <w:wordWrap/>
              <w:overflowPunct/>
              <w:topLinePunct w:val="0"/>
              <w:autoSpaceDE/>
              <w:autoSpaceDN/>
              <w:bidi w:val="0"/>
              <w:spacing w:line="240" w:lineRule="atLeast"/>
              <w:ind w:leftChars="0"/>
              <w:jc w:val="center"/>
              <w:textAlignment w:val="auto"/>
              <w:rPr>
                <w:rFonts w:hint="default" w:ascii="仿宋_GB2312" w:hAnsi="仿宋_GB2312" w:eastAsia="仿宋_GB2312" w:cs="仿宋_GB2312"/>
                <w:bCs/>
                <w:sz w:val="18"/>
                <w:szCs w:val="18"/>
                <w:lang w:val="en-US" w:eastAsia="zh-CN"/>
              </w:rPr>
            </w:pPr>
            <w:r>
              <w:rPr>
                <w:rFonts w:hint="eastAsia" w:ascii="仿宋_GB2312" w:hAnsi="仿宋_GB2312" w:eastAsia="仿宋_GB2312" w:cs="仿宋_GB2312"/>
                <w:bCs/>
                <w:sz w:val="18"/>
                <w:szCs w:val="18"/>
                <w:lang w:val="en-US" w:eastAsia="zh-CN"/>
              </w:rPr>
              <w:t>14</w:t>
            </w:r>
          </w:p>
        </w:tc>
        <w:tc>
          <w:tcPr>
            <w:tcW w:w="1286" w:type="dxa"/>
            <w:vAlign w:val="center"/>
          </w:tcPr>
          <w:p w14:paraId="263CA618">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bCs/>
                <w:sz w:val="18"/>
                <w:szCs w:val="18"/>
              </w:rPr>
            </w:pPr>
          </w:p>
        </w:tc>
        <w:tc>
          <w:tcPr>
            <w:tcW w:w="1985" w:type="dxa"/>
            <w:vAlign w:val="center"/>
          </w:tcPr>
          <w:p w14:paraId="7323DAA0">
            <w:pPr>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数据接口</w:t>
            </w:r>
            <w:r>
              <w:rPr>
                <w:rFonts w:hint="eastAsia" w:ascii="仿宋_GB2312" w:hAnsi="仿宋_GB2312" w:eastAsia="仿宋_GB2312" w:cs="仿宋_GB2312"/>
                <w:sz w:val="18"/>
                <w:szCs w:val="18"/>
                <w:lang w:val="en-US" w:eastAsia="zh-CN"/>
              </w:rPr>
              <w:t>及相关</w:t>
            </w:r>
            <w:r>
              <w:rPr>
                <w:rFonts w:hint="eastAsia" w:ascii="仿宋_GB2312" w:hAnsi="仿宋_GB2312" w:eastAsia="仿宋_GB2312" w:cs="仿宋_GB2312"/>
                <w:sz w:val="18"/>
                <w:szCs w:val="18"/>
              </w:rPr>
              <w:t>要求</w:t>
            </w:r>
          </w:p>
        </w:tc>
        <w:tc>
          <w:tcPr>
            <w:tcW w:w="7009" w:type="dxa"/>
            <w:vAlign w:val="center"/>
          </w:tcPr>
          <w:p w14:paraId="2026E6DE">
            <w:pPr>
              <w:pStyle w:val="10"/>
              <w:keepNext w:val="0"/>
              <w:keepLines w:val="0"/>
              <w:pageBreakBefore w:val="0"/>
              <w:widowControl w:val="0"/>
              <w:tabs>
                <w:tab w:val="left" w:pos="1545"/>
                <w:tab w:val="left" w:pos="2025"/>
              </w:tabs>
              <w:kinsoku/>
              <w:wordWrap/>
              <w:overflowPunct/>
              <w:topLinePunct w:val="0"/>
              <w:autoSpaceDE/>
              <w:autoSpaceDN/>
              <w:bidi w:val="0"/>
              <w:adjustRightInd w:val="0"/>
              <w:snapToGrid w:val="0"/>
              <w:spacing w:line="240" w:lineRule="atLeas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本项目采购人不承担无纸化归档系统与医院EMR、HIS、LIS、PACS等业务信息系统之间的接口对接费用，因对接上述业务系统所产生的接口对接费用</w:t>
            </w:r>
            <w:r>
              <w:rPr>
                <w:rFonts w:hint="eastAsia" w:ascii="仿宋_GB2312" w:hAnsi="仿宋_GB2312" w:eastAsia="仿宋_GB2312" w:cs="仿宋_GB2312"/>
                <w:sz w:val="18"/>
                <w:szCs w:val="18"/>
                <w:lang w:val="en-US" w:eastAsia="zh-CN"/>
              </w:rPr>
              <w:t>及安装系统所需的服务器（主备各一台）均</w:t>
            </w:r>
            <w:r>
              <w:rPr>
                <w:rFonts w:hint="eastAsia" w:ascii="仿宋_GB2312" w:hAnsi="仿宋_GB2312" w:eastAsia="仿宋_GB2312" w:cs="仿宋_GB2312"/>
                <w:sz w:val="18"/>
                <w:szCs w:val="18"/>
              </w:rPr>
              <w:t>由中标人承担。投标人必须对此进行充分评估，对此做出承诺并在投标文件中出具承诺函。</w:t>
            </w:r>
          </w:p>
        </w:tc>
      </w:tr>
      <w:bookmarkEnd w:id="4"/>
    </w:tbl>
    <w:p w14:paraId="70BBF085">
      <w:pPr>
        <w:bidi w:val="0"/>
        <w:rPr>
          <w:rFonts w:hint="eastAsia"/>
        </w:rPr>
      </w:pPr>
    </w:p>
    <w:p w14:paraId="75764668">
      <w:pPr>
        <w:spacing w:line="400" w:lineRule="exact"/>
        <w:rPr>
          <w:rFonts w:hint="eastAsia" w:ascii="仿宋_GB2312" w:hAnsi="仿宋_GB2312" w:eastAsia="仿宋_GB2312" w:cs="仿宋_GB2312"/>
          <w:color w:val="000000" w:themeColor="text1"/>
          <w:sz w:val="21"/>
          <w:szCs w:val="21"/>
          <w14:textFill>
            <w14:solidFill>
              <w14:schemeClr w14:val="tx1"/>
            </w14:solidFill>
          </w14:textFill>
        </w:rPr>
      </w:pPr>
    </w:p>
    <w:p w14:paraId="60538FF0">
      <w:pPr>
        <w:bidi w:val="0"/>
        <w:rPr>
          <w:rFonts w:hint="eastAsia"/>
          <w:lang w:val="en-US" w:eastAsia="zh-CN"/>
        </w:rPr>
      </w:pPr>
      <w:bookmarkStart w:id="9" w:name="_Toc8052"/>
    </w:p>
    <w:bookmarkEnd w:id="9"/>
    <w:p w14:paraId="43E8D788">
      <w:pPr>
        <w:rPr>
          <w:color w:val="000000" w:themeColor="text1"/>
          <w14:textFill>
            <w14:solidFill>
              <w14:schemeClr w14:val="tx1"/>
            </w14:solidFill>
          </w14:textFill>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9590E">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5F3DB0">
                          <w:pPr>
                            <w:pStyle w:val="11"/>
                            <w:rPr>
                              <w:rFonts w:hint="eastAsia" w:ascii="仿宋" w:hAnsi="仿宋" w:eastAsia="仿宋" w:cs="仿宋"/>
                              <w:sz w:val="21"/>
                              <w:szCs w:val="32"/>
                            </w:rPr>
                          </w:pPr>
                          <w:r>
                            <w:rPr>
                              <w:rFonts w:hint="eastAsia" w:ascii="仿宋" w:hAnsi="仿宋" w:eastAsia="仿宋" w:cs="仿宋"/>
                              <w:sz w:val="21"/>
                              <w:szCs w:val="32"/>
                            </w:rPr>
                            <w:t xml:space="preserve">第 </w:t>
                          </w:r>
                          <w:r>
                            <w:rPr>
                              <w:rFonts w:hint="eastAsia" w:ascii="仿宋" w:hAnsi="仿宋" w:eastAsia="仿宋" w:cs="仿宋"/>
                              <w:sz w:val="21"/>
                              <w:szCs w:val="32"/>
                            </w:rPr>
                            <w:fldChar w:fldCharType="begin"/>
                          </w:r>
                          <w:r>
                            <w:rPr>
                              <w:rFonts w:hint="eastAsia" w:ascii="仿宋" w:hAnsi="仿宋" w:eastAsia="仿宋" w:cs="仿宋"/>
                              <w:sz w:val="21"/>
                              <w:szCs w:val="32"/>
                            </w:rPr>
                            <w:instrText xml:space="preserve"> PAGE  \* MERGEFORMAT </w:instrText>
                          </w:r>
                          <w:r>
                            <w:rPr>
                              <w:rFonts w:hint="eastAsia" w:ascii="仿宋" w:hAnsi="仿宋" w:eastAsia="仿宋" w:cs="仿宋"/>
                              <w:sz w:val="21"/>
                              <w:szCs w:val="32"/>
                            </w:rPr>
                            <w:fldChar w:fldCharType="separate"/>
                          </w:r>
                          <w:r>
                            <w:rPr>
                              <w:rFonts w:hint="eastAsia" w:ascii="仿宋" w:hAnsi="仿宋" w:eastAsia="仿宋" w:cs="仿宋"/>
                              <w:sz w:val="21"/>
                              <w:szCs w:val="32"/>
                            </w:rPr>
                            <w:t>1</w:t>
                          </w:r>
                          <w:r>
                            <w:rPr>
                              <w:rFonts w:hint="eastAsia" w:ascii="仿宋" w:hAnsi="仿宋" w:eastAsia="仿宋" w:cs="仿宋"/>
                              <w:sz w:val="21"/>
                              <w:szCs w:val="32"/>
                            </w:rPr>
                            <w:fldChar w:fldCharType="end"/>
                          </w:r>
                          <w:r>
                            <w:rPr>
                              <w:rFonts w:hint="eastAsia" w:ascii="仿宋" w:hAnsi="仿宋" w:eastAsia="仿宋" w:cs="仿宋"/>
                              <w:sz w:val="21"/>
                              <w:szCs w:val="32"/>
                            </w:rPr>
                            <w:t xml:space="preserve"> 页 共 </w:t>
                          </w:r>
                          <w:r>
                            <w:rPr>
                              <w:rFonts w:hint="eastAsia" w:ascii="仿宋" w:hAnsi="仿宋" w:eastAsia="仿宋" w:cs="仿宋"/>
                              <w:sz w:val="21"/>
                              <w:szCs w:val="32"/>
                            </w:rPr>
                            <w:fldChar w:fldCharType="begin"/>
                          </w:r>
                          <w:r>
                            <w:rPr>
                              <w:rFonts w:hint="eastAsia" w:ascii="仿宋" w:hAnsi="仿宋" w:eastAsia="仿宋" w:cs="仿宋"/>
                              <w:sz w:val="21"/>
                              <w:szCs w:val="32"/>
                            </w:rPr>
                            <w:instrText xml:space="preserve"> NUMPAGES  \* MERGEFORMAT </w:instrText>
                          </w:r>
                          <w:r>
                            <w:rPr>
                              <w:rFonts w:hint="eastAsia" w:ascii="仿宋" w:hAnsi="仿宋" w:eastAsia="仿宋" w:cs="仿宋"/>
                              <w:sz w:val="21"/>
                              <w:szCs w:val="32"/>
                            </w:rPr>
                            <w:fldChar w:fldCharType="separate"/>
                          </w:r>
                          <w:r>
                            <w:rPr>
                              <w:rFonts w:hint="eastAsia" w:ascii="仿宋" w:hAnsi="仿宋" w:eastAsia="仿宋" w:cs="仿宋"/>
                              <w:sz w:val="21"/>
                              <w:szCs w:val="32"/>
                            </w:rPr>
                            <w:t>9</w:t>
                          </w:r>
                          <w:r>
                            <w:rPr>
                              <w:rFonts w:hint="eastAsia" w:ascii="仿宋" w:hAnsi="仿宋" w:eastAsia="仿宋" w:cs="仿宋"/>
                              <w:sz w:val="21"/>
                              <w:szCs w:val="32"/>
                            </w:rPr>
                            <w:fldChar w:fldCharType="end"/>
                          </w:r>
                          <w:r>
                            <w:rPr>
                              <w:rFonts w:hint="eastAsia" w:ascii="仿宋" w:hAnsi="仿宋" w:eastAsia="仿宋" w:cs="仿宋"/>
                              <w:sz w:val="21"/>
                              <w:szCs w:val="32"/>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5F3DB0">
                    <w:pPr>
                      <w:pStyle w:val="11"/>
                      <w:rPr>
                        <w:rFonts w:hint="eastAsia" w:ascii="仿宋" w:hAnsi="仿宋" w:eastAsia="仿宋" w:cs="仿宋"/>
                        <w:sz w:val="21"/>
                        <w:szCs w:val="32"/>
                      </w:rPr>
                    </w:pPr>
                    <w:r>
                      <w:rPr>
                        <w:rFonts w:hint="eastAsia" w:ascii="仿宋" w:hAnsi="仿宋" w:eastAsia="仿宋" w:cs="仿宋"/>
                        <w:sz w:val="21"/>
                        <w:szCs w:val="32"/>
                      </w:rPr>
                      <w:t xml:space="preserve">第 </w:t>
                    </w:r>
                    <w:r>
                      <w:rPr>
                        <w:rFonts w:hint="eastAsia" w:ascii="仿宋" w:hAnsi="仿宋" w:eastAsia="仿宋" w:cs="仿宋"/>
                        <w:sz w:val="21"/>
                        <w:szCs w:val="32"/>
                      </w:rPr>
                      <w:fldChar w:fldCharType="begin"/>
                    </w:r>
                    <w:r>
                      <w:rPr>
                        <w:rFonts w:hint="eastAsia" w:ascii="仿宋" w:hAnsi="仿宋" w:eastAsia="仿宋" w:cs="仿宋"/>
                        <w:sz w:val="21"/>
                        <w:szCs w:val="32"/>
                      </w:rPr>
                      <w:instrText xml:space="preserve"> PAGE  \* MERGEFORMAT </w:instrText>
                    </w:r>
                    <w:r>
                      <w:rPr>
                        <w:rFonts w:hint="eastAsia" w:ascii="仿宋" w:hAnsi="仿宋" w:eastAsia="仿宋" w:cs="仿宋"/>
                        <w:sz w:val="21"/>
                        <w:szCs w:val="32"/>
                      </w:rPr>
                      <w:fldChar w:fldCharType="separate"/>
                    </w:r>
                    <w:r>
                      <w:rPr>
                        <w:rFonts w:hint="eastAsia" w:ascii="仿宋" w:hAnsi="仿宋" w:eastAsia="仿宋" w:cs="仿宋"/>
                        <w:sz w:val="21"/>
                        <w:szCs w:val="32"/>
                      </w:rPr>
                      <w:t>1</w:t>
                    </w:r>
                    <w:r>
                      <w:rPr>
                        <w:rFonts w:hint="eastAsia" w:ascii="仿宋" w:hAnsi="仿宋" w:eastAsia="仿宋" w:cs="仿宋"/>
                        <w:sz w:val="21"/>
                        <w:szCs w:val="32"/>
                      </w:rPr>
                      <w:fldChar w:fldCharType="end"/>
                    </w:r>
                    <w:r>
                      <w:rPr>
                        <w:rFonts w:hint="eastAsia" w:ascii="仿宋" w:hAnsi="仿宋" w:eastAsia="仿宋" w:cs="仿宋"/>
                        <w:sz w:val="21"/>
                        <w:szCs w:val="32"/>
                      </w:rPr>
                      <w:t xml:space="preserve"> 页 共 </w:t>
                    </w:r>
                    <w:r>
                      <w:rPr>
                        <w:rFonts w:hint="eastAsia" w:ascii="仿宋" w:hAnsi="仿宋" w:eastAsia="仿宋" w:cs="仿宋"/>
                        <w:sz w:val="21"/>
                        <w:szCs w:val="32"/>
                      </w:rPr>
                      <w:fldChar w:fldCharType="begin"/>
                    </w:r>
                    <w:r>
                      <w:rPr>
                        <w:rFonts w:hint="eastAsia" w:ascii="仿宋" w:hAnsi="仿宋" w:eastAsia="仿宋" w:cs="仿宋"/>
                        <w:sz w:val="21"/>
                        <w:szCs w:val="32"/>
                      </w:rPr>
                      <w:instrText xml:space="preserve"> NUMPAGES  \* MERGEFORMAT </w:instrText>
                    </w:r>
                    <w:r>
                      <w:rPr>
                        <w:rFonts w:hint="eastAsia" w:ascii="仿宋" w:hAnsi="仿宋" w:eastAsia="仿宋" w:cs="仿宋"/>
                        <w:sz w:val="21"/>
                        <w:szCs w:val="32"/>
                      </w:rPr>
                      <w:fldChar w:fldCharType="separate"/>
                    </w:r>
                    <w:r>
                      <w:rPr>
                        <w:rFonts w:hint="eastAsia" w:ascii="仿宋" w:hAnsi="仿宋" w:eastAsia="仿宋" w:cs="仿宋"/>
                        <w:sz w:val="21"/>
                        <w:szCs w:val="32"/>
                      </w:rPr>
                      <w:t>9</w:t>
                    </w:r>
                    <w:r>
                      <w:rPr>
                        <w:rFonts w:hint="eastAsia" w:ascii="仿宋" w:hAnsi="仿宋" w:eastAsia="仿宋" w:cs="仿宋"/>
                        <w:sz w:val="21"/>
                        <w:szCs w:val="32"/>
                      </w:rPr>
                      <w:fldChar w:fldCharType="end"/>
                    </w:r>
                    <w:r>
                      <w:rPr>
                        <w:rFonts w:hint="eastAsia" w:ascii="仿宋" w:hAnsi="仿宋" w:eastAsia="仿宋" w:cs="仿宋"/>
                        <w:sz w:val="21"/>
                        <w:szCs w:val="32"/>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06C59"/>
    <w:rsid w:val="07010D9A"/>
    <w:rsid w:val="07E30162"/>
    <w:rsid w:val="08332F65"/>
    <w:rsid w:val="08EC086C"/>
    <w:rsid w:val="0CA4267D"/>
    <w:rsid w:val="0CE75980"/>
    <w:rsid w:val="0F287C86"/>
    <w:rsid w:val="11BA3663"/>
    <w:rsid w:val="18A97FA7"/>
    <w:rsid w:val="1D7E40DE"/>
    <w:rsid w:val="1F2B2044"/>
    <w:rsid w:val="20807415"/>
    <w:rsid w:val="21627873"/>
    <w:rsid w:val="25001316"/>
    <w:rsid w:val="2B0B7F50"/>
    <w:rsid w:val="2CA90A4C"/>
    <w:rsid w:val="2FB70453"/>
    <w:rsid w:val="2FF26266"/>
    <w:rsid w:val="3009031D"/>
    <w:rsid w:val="34880F47"/>
    <w:rsid w:val="365D08E9"/>
    <w:rsid w:val="37647A49"/>
    <w:rsid w:val="3A7624F8"/>
    <w:rsid w:val="3C9E0AE4"/>
    <w:rsid w:val="4A124451"/>
    <w:rsid w:val="4DC766F0"/>
    <w:rsid w:val="50CE0E20"/>
    <w:rsid w:val="51776D26"/>
    <w:rsid w:val="51C86381"/>
    <w:rsid w:val="555130E5"/>
    <w:rsid w:val="566273F2"/>
    <w:rsid w:val="58972538"/>
    <w:rsid w:val="592C7DDB"/>
    <w:rsid w:val="5A4968FF"/>
    <w:rsid w:val="61B15AAD"/>
    <w:rsid w:val="66082DB5"/>
    <w:rsid w:val="6A11618D"/>
    <w:rsid w:val="6DB405C9"/>
    <w:rsid w:val="6EC24A7A"/>
    <w:rsid w:val="78DB6E64"/>
    <w:rsid w:val="79F60838"/>
    <w:rsid w:val="7BE57D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nhideWhenUsed="0" w:uiPriority="99" w:semiHidden="0" w:name="heading 3"/>
    <w:lsdException w:qFormat="1" w:unhideWhenUsed="0" w:uiPriority="0" w:semiHidden="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99"/>
    <w:pPr>
      <w:keepNext/>
      <w:keepLines/>
      <w:spacing w:line="600" w:lineRule="exact"/>
      <w:ind w:firstLine="643" w:firstLineChars="200"/>
      <w:outlineLvl w:val="2"/>
    </w:pPr>
    <w:rPr>
      <w:b/>
      <w:bCs/>
      <w:sz w:val="32"/>
      <w:szCs w:val="32"/>
    </w:rPr>
  </w:style>
  <w:style w:type="paragraph" w:styleId="5">
    <w:name w:val="heading 4"/>
    <w:basedOn w:val="1"/>
    <w:next w:val="1"/>
    <w:qFormat/>
    <w:uiPriority w:val="0"/>
    <w:pPr>
      <w:keepNext/>
      <w:keepLines/>
      <w:spacing w:line="372" w:lineRule="auto"/>
      <w:outlineLvl w:val="3"/>
    </w:pPr>
    <w:rPr>
      <w:rFonts w:ascii="Arial" w:hAnsi="Arial" w:eastAsia="黑体"/>
      <w:b/>
      <w:bCs/>
      <w:sz w:val="28"/>
      <w:szCs w:val="28"/>
    </w:rPr>
  </w:style>
  <w:style w:type="paragraph" w:styleId="6">
    <w:name w:val="heading 5"/>
    <w:basedOn w:val="1"/>
    <w:next w:val="1"/>
    <w:unhideWhenUsed/>
    <w:qFormat/>
    <w:uiPriority w:val="9"/>
    <w:pPr>
      <w:keepNext/>
      <w:keepLines/>
      <w:spacing w:before="280" w:beforeLines="0" w:beforeAutospacing="0" w:after="290" w:afterLines="0" w:afterAutospacing="0" w:line="372" w:lineRule="auto"/>
      <w:outlineLvl w:val="4"/>
    </w:pPr>
    <w:rPr>
      <w:b/>
      <w:sz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99"/>
    <w:pPr>
      <w:ind w:firstLine="420"/>
    </w:pPr>
    <w:rPr>
      <w:szCs w:val="20"/>
    </w:rPr>
  </w:style>
  <w:style w:type="paragraph" w:styleId="8">
    <w:name w:val="Body Text"/>
    <w:basedOn w:val="1"/>
    <w:qFormat/>
    <w:uiPriority w:val="99"/>
    <w:rPr>
      <w:szCs w:val="20"/>
    </w:rPr>
  </w:style>
  <w:style w:type="paragraph" w:styleId="9">
    <w:name w:val="Body Text Indent"/>
    <w:basedOn w:val="1"/>
    <w:qFormat/>
    <w:uiPriority w:val="0"/>
    <w:pPr>
      <w:ind w:firstLine="830" w:firstLineChars="352"/>
    </w:pPr>
    <w:rPr>
      <w:rFonts w:ascii="仿宋_GB2312" w:eastAsia="仿宋_GB2312"/>
      <w:kern w:val="0"/>
      <w:sz w:val="32"/>
      <w:szCs w:val="20"/>
    </w:rPr>
  </w:style>
  <w:style w:type="paragraph" w:styleId="10">
    <w:name w:val="Plain Text"/>
    <w:basedOn w:val="1"/>
    <w:qFormat/>
    <w:uiPriority w:val="99"/>
    <w:rPr>
      <w:rFonts w:ascii="宋体" w:hAnsi="Courier New" w:eastAsiaTheme="minorEastAsia" w:cstheme="minorBidi"/>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99"/>
    <w:rPr>
      <w:sz w:val="28"/>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rPr>
  </w:style>
  <w:style w:type="paragraph" w:customStyle="1" w:styleId="18">
    <w:name w:val="List Paragraph"/>
    <w:basedOn w:val="1"/>
    <w:autoRedefine/>
    <w:qFormat/>
    <w:uiPriority w:val="34"/>
    <w:pPr>
      <w:ind w:firstLine="420" w:firstLineChars="200"/>
    </w:pPr>
  </w:style>
  <w:style w:type="paragraph" w:customStyle="1" w:styleId="19">
    <w:name w:val="_Style 13"/>
    <w:qFormat/>
    <w:uiPriority w:val="0"/>
    <w:pPr>
      <w:spacing w:before="120" w:after="120" w:line="288" w:lineRule="auto"/>
      <w:ind w:left="0"/>
      <w:jc w:val="left"/>
    </w:pPr>
    <w:rPr>
      <w:rFonts w:ascii="Arial" w:hAnsi="Arial" w:eastAsia="等线" w:cs="Arial"/>
      <w:sz w:val="22"/>
      <w:szCs w:val="22"/>
    </w:rPr>
  </w:style>
  <w:style w:type="paragraph" w:customStyle="1" w:styleId="20">
    <w:name w:val="表格文字"/>
    <w:basedOn w:val="1"/>
    <w:autoRedefine/>
    <w:qFormat/>
    <w:uiPriority w:val="0"/>
    <w:pPr>
      <w:spacing w:before="25" w:after="25"/>
      <w:jc w:val="left"/>
    </w:pPr>
    <w:rPr>
      <w:rFonts w:cs="Calibri"/>
      <w:bCs/>
      <w:spacing w:val="10"/>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4852</Words>
  <Characters>5085</Characters>
  <Lines>0</Lines>
  <Paragraphs>0</Paragraphs>
  <TotalTime>41</TotalTime>
  <ScaleCrop>false</ScaleCrop>
  <LinksUpToDate>false</LinksUpToDate>
  <CharactersWithSpaces>5098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2025-09-03T08:08:00Z</dcterms:created>
  <dc:creator>jj</dc:creator>
  <cp:lastModifiedBy>黄玉兰</cp:lastModifiedBy>
  <dcterms:modified xsi:type="dcterms:W3CDTF">2026-07-01T10:24:41Z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eyJoZGlkIjoiZjQ2ZThkMzZmMmE3OWFlODBjMmRkMTZjODA2OTZlM2UiLCJ1c2VySWQiOiIxODUyNjQ5Mzc4In0=</vt:lpwstr>
  </property>
  <property fmtid="{D5CDD505-2E9C-101B-9397-08002B2CF9AE}" pid="4" name="ICV">
    <vt:lpwstr>DB1EC43C37304712BA12C7F2EA4DE709_13</vt:lpwstr>
  </property>
</Properties>
</file>