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1867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0" w:afterAutospacing="0" w:line="26" w:lineRule="atLeast"/>
        <w:ind w:left="0" w:right="0" w:firstLine="0"/>
        <w:jc w:val="center"/>
        <w:rPr>
          <w:rFonts w:hint="eastAsia" w:ascii="Segoe UI" w:hAnsi="Segoe UI" w:eastAsia="宋体" w:cs="Segoe UI"/>
          <w:i w:val="0"/>
          <w:iCs w:val="0"/>
          <w:caps w:val="0"/>
          <w:color w:val="05073B"/>
          <w:spacing w:val="0"/>
          <w:sz w:val="22"/>
          <w:szCs w:val="22"/>
          <w:lang w:val="en-US" w:eastAsia="zh-CN"/>
        </w:rPr>
      </w:pPr>
      <w:r>
        <w:rPr>
          <w:rStyle w:val="13"/>
          <w:rFonts w:hint="eastAsia" w:ascii="Segoe UI" w:hAnsi="Segoe UI" w:cs="Segoe UI"/>
          <w:b/>
          <w:bCs/>
          <w:i w:val="0"/>
          <w:iCs w:val="0"/>
          <w:caps w:val="0"/>
          <w:color w:val="05073B"/>
          <w:spacing w:val="0"/>
          <w:sz w:val="22"/>
          <w:szCs w:val="22"/>
          <w:shd w:val="clear" w:color="auto" w:fill="FDFDFE"/>
          <w:lang w:eastAsia="zh-CN"/>
        </w:rPr>
        <w:t>贺州市中医医院</w:t>
      </w:r>
      <w:r>
        <w:rPr>
          <w:rStyle w:val="13"/>
          <w:rFonts w:hint="default" w:ascii="Segoe UI" w:hAnsi="Segoe UI" w:eastAsia="Segoe UI" w:cs="Segoe UI"/>
          <w:b/>
          <w:bCs/>
          <w:i w:val="0"/>
          <w:iCs w:val="0"/>
          <w:caps w:val="0"/>
          <w:color w:val="05073B"/>
          <w:spacing w:val="0"/>
          <w:sz w:val="22"/>
          <w:szCs w:val="22"/>
          <w:shd w:val="clear" w:color="auto" w:fill="FDFDFE"/>
        </w:rPr>
        <w:t>设备采购市场调研</w:t>
      </w:r>
      <w:r>
        <w:rPr>
          <w:rStyle w:val="13"/>
          <w:rFonts w:hint="eastAsia" w:ascii="Segoe UI" w:hAnsi="Segoe UI" w:eastAsia="宋体" w:cs="Segoe UI"/>
          <w:b/>
          <w:bCs/>
          <w:i w:val="0"/>
          <w:iCs w:val="0"/>
          <w:caps w:val="0"/>
          <w:color w:val="05073B"/>
          <w:spacing w:val="0"/>
          <w:sz w:val="22"/>
          <w:szCs w:val="22"/>
          <w:shd w:val="clear" w:color="auto" w:fill="FDFDFE"/>
          <w:lang w:eastAsia="zh-CN"/>
        </w:rPr>
        <w:t>问卷</w:t>
      </w:r>
    </w:p>
    <w:p w14:paraId="21B374A7">
      <w:pPr>
        <w:rPr>
          <w:rFonts w:hint="eastAsia" w:eastAsiaTheme="minorEastAsia"/>
          <w:lang w:val="en-US" w:eastAsia="zh-CN"/>
        </w:rPr>
      </w:pPr>
      <w:r>
        <w:rPr>
          <w:rFonts w:hint="eastAsia"/>
          <w:lang w:val="en-US" w:eastAsia="zh-CN"/>
        </w:rPr>
        <w:t>各潜在供应商：</w:t>
      </w:r>
    </w:p>
    <w:p w14:paraId="346C478E">
      <w:pPr>
        <w:spacing w:line="400" w:lineRule="exact"/>
        <w:ind w:firstLine="420" w:firstLineChars="200"/>
      </w:pPr>
      <w:r>
        <w:rPr>
          <w:rFonts w:hint="eastAsia"/>
        </w:rPr>
        <w:t>为加强政府采购需求管理，确保采购需求的完整性及明确性，实现政府采购项目绩效目标，</w:t>
      </w:r>
      <w:r>
        <w:rPr>
          <w:rFonts w:hint="eastAsia"/>
          <w:lang w:eastAsia="zh-CN"/>
        </w:rPr>
        <w:t>特</w:t>
      </w:r>
      <w:r>
        <w:rPr>
          <w:rFonts w:hint="eastAsia"/>
        </w:rPr>
        <w:t>向潜在供应商开展采购需求调查，现将有关事宜公告如下：</w:t>
      </w:r>
    </w:p>
    <w:p w14:paraId="77537247">
      <w:pPr>
        <w:spacing w:line="400" w:lineRule="exact"/>
        <w:ind w:firstLine="420" w:firstLineChars="200"/>
      </w:pPr>
      <w:r>
        <w:rPr>
          <w:rFonts w:hint="eastAsia"/>
        </w:rPr>
        <w:t>一、调查内容</w:t>
      </w:r>
    </w:p>
    <w:p w14:paraId="2F17C44F">
      <w:pPr>
        <w:spacing w:line="400" w:lineRule="exact"/>
        <w:ind w:firstLine="420" w:firstLineChars="200"/>
      </w:pPr>
      <w:r>
        <w:rPr>
          <w:rFonts w:hint="eastAsia"/>
        </w:rPr>
        <w:t>项目名称：贺州市中医医院设备采购</w:t>
      </w:r>
    </w:p>
    <w:tbl>
      <w:tblPr>
        <w:tblStyle w:val="10"/>
        <w:tblW w:w="9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200"/>
        <w:gridCol w:w="675"/>
        <w:gridCol w:w="6315"/>
        <w:gridCol w:w="720"/>
      </w:tblGrid>
      <w:tr w14:paraId="2512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trPr>
        <w:tc>
          <w:tcPr>
            <w:tcW w:w="704" w:type="dxa"/>
            <w:shd w:val="clear" w:color="auto" w:fill="auto"/>
            <w:tcMar>
              <w:left w:w="105" w:type="dxa"/>
              <w:right w:w="105" w:type="dxa"/>
            </w:tcMar>
            <w:vAlign w:val="center"/>
          </w:tcPr>
          <w:p w14:paraId="40B2365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序号</w:t>
            </w:r>
          </w:p>
        </w:tc>
        <w:tc>
          <w:tcPr>
            <w:tcW w:w="1200" w:type="dxa"/>
            <w:shd w:val="clear" w:color="auto" w:fill="auto"/>
            <w:tcMar>
              <w:left w:w="105" w:type="dxa"/>
              <w:right w:w="105" w:type="dxa"/>
            </w:tcMar>
            <w:vAlign w:val="center"/>
          </w:tcPr>
          <w:p w14:paraId="28C0046B">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产品名称</w:t>
            </w:r>
          </w:p>
        </w:tc>
        <w:tc>
          <w:tcPr>
            <w:tcW w:w="675" w:type="dxa"/>
            <w:shd w:val="clear" w:color="auto" w:fill="auto"/>
            <w:tcMar>
              <w:left w:w="105" w:type="dxa"/>
              <w:right w:w="105" w:type="dxa"/>
            </w:tcMar>
            <w:vAlign w:val="center"/>
          </w:tcPr>
          <w:p w14:paraId="5FB61102">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数量</w:t>
            </w:r>
          </w:p>
        </w:tc>
        <w:tc>
          <w:tcPr>
            <w:tcW w:w="6315" w:type="dxa"/>
            <w:shd w:val="clear" w:color="auto" w:fill="auto"/>
            <w:tcMar>
              <w:left w:w="105" w:type="dxa"/>
              <w:right w:w="105" w:type="dxa"/>
            </w:tcMar>
            <w:vAlign w:val="center"/>
          </w:tcPr>
          <w:p w14:paraId="33FC82CC">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简要技术规格</w:t>
            </w:r>
          </w:p>
        </w:tc>
        <w:tc>
          <w:tcPr>
            <w:tcW w:w="720" w:type="dxa"/>
            <w:shd w:val="clear" w:color="auto" w:fill="auto"/>
            <w:tcMar>
              <w:left w:w="105" w:type="dxa"/>
              <w:right w:w="105" w:type="dxa"/>
            </w:tcMar>
            <w:vAlign w:val="center"/>
          </w:tcPr>
          <w:p w14:paraId="2933AEB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备注</w:t>
            </w:r>
          </w:p>
        </w:tc>
      </w:tr>
      <w:tr w14:paraId="22F7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5312EE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1200" w:type="dxa"/>
            <w:shd w:val="clear" w:color="auto" w:fill="auto"/>
            <w:tcMar>
              <w:left w:w="105" w:type="dxa"/>
              <w:right w:w="105" w:type="dxa"/>
            </w:tcMar>
            <w:vAlign w:val="center"/>
          </w:tcPr>
          <w:p w14:paraId="345F5BDD">
            <w:pPr>
              <w:keepNext w:val="0"/>
              <w:keepLines w:val="0"/>
              <w:pageBreakBefore w:val="0"/>
              <w:wordWrap/>
              <w:overflowPunct/>
              <w:topLinePunct w:val="0"/>
              <w:bidi w:val="0"/>
              <w:spacing w:line="240" w:lineRule="auto"/>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便携式B超1</w:t>
            </w:r>
          </w:p>
        </w:tc>
        <w:tc>
          <w:tcPr>
            <w:tcW w:w="675" w:type="dxa"/>
            <w:shd w:val="clear" w:color="auto" w:fill="auto"/>
            <w:tcMar>
              <w:left w:w="105" w:type="dxa"/>
              <w:right w:w="105" w:type="dxa"/>
            </w:tcMar>
            <w:vAlign w:val="center"/>
          </w:tcPr>
          <w:p w14:paraId="4B35EE3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315" w:type="dxa"/>
            <w:shd w:val="clear" w:color="auto" w:fill="auto"/>
            <w:tcMar>
              <w:left w:w="105" w:type="dxa"/>
              <w:right w:w="105" w:type="dxa"/>
            </w:tcMar>
            <w:vAlign w:val="center"/>
          </w:tcPr>
          <w:p w14:paraId="4AF8500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1、设备用途说明：</w:t>
            </w:r>
          </w:p>
          <w:p w14:paraId="736151D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1.1</w:t>
            </w:r>
            <w:r>
              <w:rPr>
                <w:rFonts w:hint="eastAsia" w:asciiTheme="minorEastAsia" w:hAnsiTheme="minorEastAsia" w:eastAsiaTheme="minorEastAsia" w:cstheme="minorEastAsia"/>
                <w:color w:val="auto"/>
                <w:sz w:val="20"/>
                <w:szCs w:val="20"/>
                <w:lang w:val="en-US" w:eastAsia="zh-CN"/>
              </w:rPr>
              <w:t>主要用于心脏、腹部、妇科、产科、血管、泌尿等的研究和临床实践</w:t>
            </w:r>
          </w:p>
          <w:p w14:paraId="5F07EC1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2、主要技术规格及系统概述：</w:t>
            </w:r>
          </w:p>
          <w:p w14:paraId="45209C8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w:t>
            </w:r>
            <w:r>
              <w:rPr>
                <w:rFonts w:hint="eastAsia" w:asciiTheme="minorEastAsia" w:hAnsiTheme="minorEastAsia" w:eastAsiaTheme="minorEastAsia" w:cstheme="minorEastAsia"/>
                <w:color w:val="auto"/>
                <w:sz w:val="20"/>
                <w:szCs w:val="20"/>
                <w:lang w:val="en-US" w:eastAsia="zh-CN"/>
              </w:rPr>
              <w:t>高档彩色多普勒超声诊断仪包括：</w:t>
            </w:r>
          </w:p>
          <w:p w14:paraId="25FD701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2.1.1</w:t>
            </w:r>
            <w:r>
              <w:rPr>
                <w:rFonts w:hint="eastAsia" w:asciiTheme="minorEastAsia" w:hAnsiTheme="minorEastAsia" w:eastAsiaTheme="minorEastAsia" w:cstheme="minorEastAsia"/>
                <w:color w:val="auto"/>
                <w:sz w:val="20"/>
                <w:szCs w:val="20"/>
                <w:lang w:val="en-US" w:eastAsia="zh-CN"/>
              </w:rPr>
              <w:t>彩色监视器：≥13寸高分辨率彩色LED显示器，与主机一体化</w:t>
            </w:r>
          </w:p>
          <w:p w14:paraId="39C109B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w:t>
            </w:r>
            <w:r>
              <w:rPr>
                <w:rFonts w:hint="default" w:asciiTheme="minorEastAsia" w:hAnsiTheme="minorEastAsia" w:eastAsiaTheme="minorEastAsia" w:cstheme="minorEastAsia"/>
                <w:color w:val="auto"/>
                <w:sz w:val="20"/>
                <w:szCs w:val="20"/>
                <w:lang w:val="en-US" w:eastAsia="zh-CN"/>
              </w:rPr>
              <w:t>2.1.2</w:t>
            </w:r>
            <w:r>
              <w:rPr>
                <w:rFonts w:hint="eastAsia" w:asciiTheme="minorEastAsia" w:hAnsiTheme="minorEastAsia" w:eastAsiaTheme="minorEastAsia" w:cstheme="minorEastAsia"/>
                <w:color w:val="auto"/>
                <w:sz w:val="20"/>
                <w:szCs w:val="20"/>
                <w:lang w:val="en-US" w:eastAsia="zh-CN"/>
              </w:rPr>
              <w:t>触摸屏：≥13寸电容式触摸屏，支持单点、多点、滑动、缩放操作</w:t>
            </w:r>
          </w:p>
          <w:p w14:paraId="3F11B31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w:t>
            </w:r>
            <w:r>
              <w:rPr>
                <w:rFonts w:hint="default" w:asciiTheme="minorEastAsia" w:hAnsiTheme="minorEastAsia" w:eastAsiaTheme="minorEastAsia" w:cstheme="minorEastAsia"/>
                <w:color w:val="auto"/>
                <w:sz w:val="20"/>
                <w:szCs w:val="20"/>
                <w:lang w:val="en-US" w:eastAsia="zh-CN"/>
              </w:rPr>
              <w:t>2.1.3</w:t>
            </w:r>
            <w:r>
              <w:rPr>
                <w:rFonts w:hint="eastAsia" w:asciiTheme="minorEastAsia" w:hAnsiTheme="minorEastAsia" w:eastAsiaTheme="minorEastAsia" w:cstheme="minorEastAsia"/>
                <w:color w:val="auto"/>
                <w:sz w:val="20"/>
                <w:szCs w:val="20"/>
                <w:lang w:val="en-US" w:eastAsia="zh-CN"/>
              </w:rPr>
              <w:t>主机重量：≤3kg</w:t>
            </w:r>
          </w:p>
          <w:p w14:paraId="00BDC7A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2.1.4</w:t>
            </w:r>
            <w:r>
              <w:rPr>
                <w:rFonts w:hint="eastAsia" w:asciiTheme="minorEastAsia" w:hAnsiTheme="minorEastAsia" w:eastAsiaTheme="minorEastAsia" w:cstheme="minorEastAsia"/>
                <w:color w:val="auto"/>
                <w:sz w:val="20"/>
                <w:szCs w:val="20"/>
                <w:lang w:val="en-US" w:eastAsia="zh-CN"/>
              </w:rPr>
              <w:t>支持探头扩展器，扩展器可1扩≥3个</w:t>
            </w:r>
          </w:p>
          <w:p w14:paraId="560B373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2.1.5</w:t>
            </w:r>
            <w:r>
              <w:rPr>
                <w:rFonts w:hint="eastAsia" w:asciiTheme="minorEastAsia" w:hAnsiTheme="minorEastAsia" w:eastAsiaTheme="minorEastAsia" w:cstheme="minorEastAsia"/>
                <w:color w:val="auto"/>
                <w:sz w:val="20"/>
                <w:szCs w:val="20"/>
                <w:lang w:val="en-US" w:eastAsia="zh-CN"/>
              </w:rPr>
              <w:t>电池的续航时间（实时连续非冻结下扫查）：≥30分钟</w:t>
            </w:r>
          </w:p>
          <w:p w14:paraId="10E3B9F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2.1.6</w:t>
            </w:r>
            <w:r>
              <w:rPr>
                <w:rFonts w:hint="eastAsia" w:asciiTheme="minorEastAsia" w:hAnsiTheme="minorEastAsia" w:eastAsiaTheme="minorEastAsia" w:cstheme="minorEastAsia"/>
                <w:color w:val="auto"/>
                <w:sz w:val="20"/>
                <w:szCs w:val="20"/>
                <w:lang w:val="en-US" w:eastAsia="zh-CN"/>
              </w:rPr>
              <w:t>可拆卸式台车，带储物盒功能</w:t>
            </w:r>
          </w:p>
          <w:p w14:paraId="7B38D24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2.1.7</w:t>
            </w:r>
            <w:r>
              <w:rPr>
                <w:rFonts w:hint="eastAsia" w:asciiTheme="minorEastAsia" w:hAnsiTheme="minorEastAsia" w:eastAsiaTheme="minorEastAsia" w:cstheme="minorEastAsia"/>
                <w:color w:val="auto"/>
                <w:sz w:val="20"/>
                <w:szCs w:val="20"/>
                <w:lang w:val="en-US" w:eastAsia="zh-CN"/>
              </w:rPr>
              <w:t>台车支持升降，行程≥28cm</w:t>
            </w:r>
          </w:p>
          <w:p w14:paraId="74EABDE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2.1.8</w:t>
            </w:r>
            <w:r>
              <w:rPr>
                <w:rFonts w:hint="eastAsia" w:asciiTheme="minorEastAsia" w:hAnsiTheme="minorEastAsia" w:eastAsiaTheme="minorEastAsia" w:cstheme="minorEastAsia"/>
                <w:color w:val="auto"/>
                <w:sz w:val="20"/>
                <w:szCs w:val="20"/>
                <w:lang w:val="en-US" w:eastAsia="zh-CN"/>
              </w:rPr>
              <w:t>支持桌面支架放置，用户可从台车上直接拆下放置在桌面上</w:t>
            </w:r>
          </w:p>
          <w:p w14:paraId="439B849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2.1.9</w:t>
            </w:r>
            <w:r>
              <w:rPr>
                <w:rFonts w:hint="eastAsia" w:asciiTheme="minorEastAsia" w:hAnsiTheme="minorEastAsia" w:eastAsiaTheme="minorEastAsia" w:cstheme="minorEastAsia"/>
                <w:color w:val="auto"/>
                <w:sz w:val="20"/>
                <w:szCs w:val="20"/>
                <w:lang w:val="en-US" w:eastAsia="zh-CN"/>
              </w:rPr>
              <w:t>台车上自带专业的消毒用杯套，方便单人完成探头消毒</w:t>
            </w:r>
          </w:p>
          <w:p w14:paraId="532D787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2.1.10</w:t>
            </w:r>
            <w:r>
              <w:rPr>
                <w:rFonts w:hint="eastAsia" w:asciiTheme="minorEastAsia" w:hAnsiTheme="minorEastAsia" w:eastAsiaTheme="minorEastAsia" w:cstheme="minorEastAsia"/>
                <w:color w:val="auto"/>
                <w:sz w:val="20"/>
                <w:szCs w:val="20"/>
                <w:lang w:val="en-US" w:eastAsia="zh-CN"/>
              </w:rPr>
              <w:t>全数字化超宽频带波束形成器：数字通道≥28000</w:t>
            </w:r>
          </w:p>
          <w:p w14:paraId="3DDFDE4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2.1.11</w:t>
            </w:r>
            <w:r>
              <w:rPr>
                <w:rFonts w:hint="eastAsia" w:asciiTheme="minorEastAsia" w:hAnsiTheme="minorEastAsia" w:eastAsiaTheme="minorEastAsia" w:cstheme="minorEastAsia"/>
                <w:color w:val="auto"/>
                <w:sz w:val="20"/>
                <w:szCs w:val="20"/>
                <w:lang w:val="en-US" w:eastAsia="zh-CN"/>
              </w:rPr>
              <w:t>彩色多普勒</w:t>
            </w:r>
          </w:p>
          <w:p w14:paraId="2670EC8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2.1.12</w:t>
            </w:r>
            <w:r>
              <w:rPr>
                <w:rFonts w:hint="eastAsia" w:asciiTheme="minorEastAsia" w:hAnsiTheme="minorEastAsia" w:eastAsiaTheme="minorEastAsia" w:cstheme="minorEastAsia"/>
                <w:color w:val="auto"/>
                <w:sz w:val="20"/>
                <w:szCs w:val="20"/>
                <w:lang w:val="en-US" w:eastAsia="zh-CN"/>
              </w:rPr>
              <w:t>能量多普勒（CDE/PDI)，方向能量图</w:t>
            </w:r>
          </w:p>
          <w:p w14:paraId="437362D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2.1.13</w:t>
            </w:r>
            <w:r>
              <w:rPr>
                <w:rFonts w:hint="eastAsia" w:asciiTheme="minorEastAsia" w:hAnsiTheme="minorEastAsia" w:eastAsiaTheme="minorEastAsia" w:cstheme="minorEastAsia"/>
                <w:color w:val="auto"/>
                <w:sz w:val="20"/>
                <w:szCs w:val="20"/>
                <w:lang w:val="en-US" w:eastAsia="zh-CN"/>
              </w:rPr>
              <w:t>M模式</w:t>
            </w:r>
          </w:p>
          <w:p w14:paraId="050FA71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2.1.14</w:t>
            </w:r>
            <w:r>
              <w:rPr>
                <w:rFonts w:hint="eastAsia" w:asciiTheme="minorEastAsia" w:hAnsiTheme="minorEastAsia" w:eastAsiaTheme="minorEastAsia" w:cstheme="minorEastAsia"/>
                <w:color w:val="auto"/>
                <w:sz w:val="20"/>
                <w:szCs w:val="20"/>
                <w:lang w:val="en-US" w:eastAsia="zh-CN"/>
              </w:rPr>
              <w:t>脉冲波多普勒，连续波多普勒</w:t>
            </w:r>
          </w:p>
          <w:p w14:paraId="79F0D85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2.1.15</w:t>
            </w:r>
            <w:r>
              <w:rPr>
                <w:rFonts w:hint="eastAsia" w:asciiTheme="minorEastAsia" w:hAnsiTheme="minorEastAsia" w:eastAsiaTheme="minorEastAsia" w:cstheme="minorEastAsia"/>
                <w:color w:val="auto"/>
                <w:sz w:val="20"/>
                <w:szCs w:val="20"/>
                <w:lang w:val="en-US" w:eastAsia="zh-CN"/>
              </w:rPr>
              <w:t>实时血流三同步</w:t>
            </w:r>
          </w:p>
          <w:p w14:paraId="59DE0D5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2.1.16</w:t>
            </w:r>
            <w:r>
              <w:rPr>
                <w:rFonts w:hint="eastAsia" w:asciiTheme="minorEastAsia" w:hAnsiTheme="minorEastAsia" w:eastAsiaTheme="minorEastAsia" w:cstheme="minorEastAsia"/>
                <w:color w:val="auto"/>
                <w:sz w:val="20"/>
                <w:szCs w:val="20"/>
                <w:lang w:val="en-US" w:eastAsia="zh-CN"/>
              </w:rPr>
              <w:t>血流的自动频谱包络分析测量</w:t>
            </w:r>
          </w:p>
          <w:p w14:paraId="0BD4A1F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2.1.17</w:t>
            </w:r>
            <w:r>
              <w:rPr>
                <w:rFonts w:hint="eastAsia" w:asciiTheme="minorEastAsia" w:hAnsiTheme="minorEastAsia" w:eastAsiaTheme="minorEastAsia" w:cstheme="minorEastAsia"/>
                <w:color w:val="auto"/>
                <w:sz w:val="20"/>
                <w:szCs w:val="20"/>
                <w:lang w:val="en-US" w:eastAsia="zh-CN"/>
              </w:rPr>
              <w:t>频率复合技术，根据深度自适应调整发射频率，并进行复合</w:t>
            </w:r>
          </w:p>
          <w:p w14:paraId="2A123A5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2.1.18</w:t>
            </w:r>
            <w:r>
              <w:rPr>
                <w:rFonts w:hint="eastAsia" w:asciiTheme="minorEastAsia" w:hAnsiTheme="minorEastAsia" w:eastAsiaTheme="minorEastAsia" w:cstheme="minorEastAsia"/>
                <w:color w:val="auto"/>
                <w:sz w:val="20"/>
                <w:szCs w:val="20"/>
                <w:lang w:val="en-US" w:eastAsia="zh-CN"/>
              </w:rPr>
              <w:t>智能穿刺增强技术，平面内的穿刺针增强角度自适应调整，无需手动选择角度</w:t>
            </w:r>
          </w:p>
          <w:p w14:paraId="490EBBE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2.1.19</w:t>
            </w:r>
            <w:r>
              <w:rPr>
                <w:rFonts w:hint="eastAsia" w:asciiTheme="minorEastAsia" w:hAnsiTheme="minorEastAsia" w:eastAsiaTheme="minorEastAsia" w:cstheme="minorEastAsia"/>
                <w:color w:val="auto"/>
                <w:sz w:val="20"/>
                <w:szCs w:val="20"/>
                <w:lang w:val="en-US" w:eastAsia="zh-CN"/>
              </w:rPr>
              <w:t>极简模式:可点击仅把常用几个按键调出，方便医生只关注图像或实施简单的操作</w:t>
            </w:r>
          </w:p>
          <w:p w14:paraId="44A6D23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2.1.20</w:t>
            </w:r>
            <w:r>
              <w:rPr>
                <w:rFonts w:hint="eastAsia" w:asciiTheme="minorEastAsia" w:hAnsiTheme="minorEastAsia" w:eastAsiaTheme="minorEastAsia" w:cstheme="minorEastAsia"/>
                <w:color w:val="auto"/>
                <w:sz w:val="20"/>
                <w:szCs w:val="20"/>
                <w:lang w:val="en-US" w:eastAsia="zh-CN"/>
              </w:rPr>
              <w:t>具有全科应用包，包括：腹部、妇科、产科、心脏、泌尿、血管、小器官等检查模式</w:t>
            </w:r>
          </w:p>
          <w:p w14:paraId="0D512C8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2.2</w:t>
            </w:r>
            <w:r>
              <w:rPr>
                <w:rFonts w:hint="eastAsia" w:asciiTheme="minorEastAsia" w:hAnsiTheme="minorEastAsia" w:eastAsiaTheme="minorEastAsia" w:cstheme="minorEastAsia"/>
                <w:color w:val="auto"/>
                <w:sz w:val="20"/>
                <w:szCs w:val="20"/>
                <w:lang w:val="en-US" w:eastAsia="zh-CN"/>
              </w:rPr>
              <w:t>测量和分析（B模式，M模式，多普勒模式，彩色模式）</w:t>
            </w:r>
          </w:p>
          <w:p w14:paraId="0F3BC73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2.2.1</w:t>
            </w:r>
            <w:r>
              <w:rPr>
                <w:rFonts w:hint="eastAsia" w:asciiTheme="minorEastAsia" w:hAnsiTheme="minorEastAsia" w:eastAsiaTheme="minorEastAsia" w:cstheme="minorEastAsia"/>
                <w:color w:val="auto"/>
                <w:sz w:val="20"/>
                <w:szCs w:val="20"/>
                <w:lang w:val="en-US" w:eastAsia="zh-CN"/>
              </w:rPr>
              <w:t>一般测量（距离、面积、周长、体积、角度、时间、斜率、心率、流速、压力、流速比等）</w:t>
            </w:r>
          </w:p>
          <w:p w14:paraId="47763BD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2.2.2</w:t>
            </w:r>
            <w:r>
              <w:rPr>
                <w:rFonts w:hint="eastAsia" w:asciiTheme="minorEastAsia" w:hAnsiTheme="minorEastAsia" w:eastAsiaTheme="minorEastAsia" w:cstheme="minorEastAsia"/>
                <w:color w:val="auto"/>
                <w:sz w:val="20"/>
                <w:szCs w:val="20"/>
                <w:lang w:val="en-US" w:eastAsia="zh-CN"/>
              </w:rPr>
              <w:t>多普勒血流测量与分析</w:t>
            </w:r>
          </w:p>
          <w:p w14:paraId="0113054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2.2.3</w:t>
            </w:r>
            <w:r>
              <w:rPr>
                <w:rFonts w:hint="eastAsia" w:asciiTheme="minorEastAsia" w:hAnsiTheme="minorEastAsia" w:eastAsiaTheme="minorEastAsia" w:cstheme="minorEastAsia"/>
                <w:color w:val="auto"/>
                <w:sz w:val="20"/>
                <w:szCs w:val="20"/>
                <w:lang w:val="en-US" w:eastAsia="zh-CN"/>
              </w:rPr>
              <w:t>全自动血流多普勒包络分析</w:t>
            </w:r>
          </w:p>
          <w:p w14:paraId="0D28086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2.3</w:t>
            </w:r>
            <w:r>
              <w:rPr>
                <w:rFonts w:hint="eastAsia" w:asciiTheme="minorEastAsia" w:hAnsiTheme="minorEastAsia" w:eastAsiaTheme="minorEastAsia" w:cstheme="minorEastAsia"/>
                <w:color w:val="auto"/>
                <w:sz w:val="20"/>
                <w:szCs w:val="20"/>
                <w:lang w:val="en-US" w:eastAsia="zh-CN"/>
              </w:rPr>
              <w:t>一体化图像存储（电影）回放重现及病案管理部件：</w:t>
            </w:r>
          </w:p>
          <w:p w14:paraId="4DCFAB2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2.3.1</w:t>
            </w:r>
            <w:r>
              <w:rPr>
                <w:rFonts w:hint="eastAsia" w:asciiTheme="minorEastAsia" w:hAnsiTheme="minorEastAsia" w:eastAsiaTheme="minorEastAsia" w:cstheme="minorEastAsia"/>
                <w:color w:val="auto"/>
                <w:sz w:val="20"/>
                <w:szCs w:val="20"/>
                <w:lang w:val="en-US" w:eastAsia="zh-CN"/>
              </w:rPr>
              <w:t>超声图像静态、动态存储、原始数据回放重现</w:t>
            </w:r>
          </w:p>
          <w:p w14:paraId="0302581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2.3.2</w:t>
            </w:r>
            <w:r>
              <w:rPr>
                <w:rFonts w:hint="eastAsia" w:asciiTheme="minorEastAsia" w:hAnsiTheme="minorEastAsia" w:eastAsiaTheme="minorEastAsia" w:cstheme="minorEastAsia"/>
                <w:color w:val="auto"/>
                <w:sz w:val="20"/>
                <w:szCs w:val="20"/>
                <w:lang w:val="en-US" w:eastAsia="zh-CN"/>
              </w:rPr>
              <w:t>病案管理部件包括：病人资料、报告、图像等的存储、修改、检索和打印等</w:t>
            </w:r>
          </w:p>
          <w:p w14:paraId="541F003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2.4</w:t>
            </w:r>
            <w:r>
              <w:rPr>
                <w:rFonts w:hint="eastAsia" w:asciiTheme="minorEastAsia" w:hAnsiTheme="minorEastAsia" w:eastAsiaTheme="minorEastAsia" w:cstheme="minorEastAsia"/>
                <w:color w:val="auto"/>
                <w:sz w:val="20"/>
                <w:szCs w:val="20"/>
                <w:lang w:val="en-US" w:eastAsia="zh-CN"/>
              </w:rPr>
              <w:t>云端互联功能</w:t>
            </w:r>
          </w:p>
          <w:p w14:paraId="1EC3576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w:t>
            </w:r>
            <w:r>
              <w:rPr>
                <w:rFonts w:hint="default" w:asciiTheme="minorEastAsia" w:hAnsiTheme="minorEastAsia" w:eastAsiaTheme="minorEastAsia" w:cstheme="minorEastAsia"/>
                <w:color w:val="auto"/>
                <w:sz w:val="20"/>
                <w:szCs w:val="20"/>
                <w:lang w:val="en-US" w:eastAsia="zh-CN"/>
              </w:rPr>
              <w:t>2.4.1</w:t>
            </w:r>
            <w:r>
              <w:rPr>
                <w:rFonts w:hint="eastAsia" w:asciiTheme="minorEastAsia" w:hAnsiTheme="minorEastAsia" w:eastAsiaTheme="minorEastAsia" w:cstheme="minorEastAsia"/>
                <w:color w:val="auto"/>
                <w:sz w:val="20"/>
                <w:szCs w:val="20"/>
                <w:lang w:val="en-US" w:eastAsia="zh-CN"/>
              </w:rPr>
              <w:t>支持手机调阅观察原始图像信息，支持云端自动存储，导出，分析，测量，编辑等功能</w:t>
            </w:r>
          </w:p>
          <w:p w14:paraId="6DD7BCA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w:t>
            </w:r>
            <w:r>
              <w:rPr>
                <w:rFonts w:hint="default" w:asciiTheme="minorEastAsia" w:hAnsiTheme="minorEastAsia" w:eastAsiaTheme="minorEastAsia" w:cstheme="minorEastAsia"/>
                <w:color w:val="auto"/>
                <w:sz w:val="20"/>
                <w:szCs w:val="20"/>
                <w:lang w:val="en-US" w:eastAsia="zh-CN"/>
              </w:rPr>
              <w:t>2.4.2</w:t>
            </w:r>
            <w:r>
              <w:rPr>
                <w:rFonts w:hint="eastAsia" w:asciiTheme="minorEastAsia" w:hAnsiTheme="minorEastAsia" w:eastAsiaTheme="minorEastAsia" w:cstheme="minorEastAsia"/>
                <w:color w:val="auto"/>
                <w:sz w:val="20"/>
                <w:szCs w:val="20"/>
                <w:lang w:val="en-US" w:eastAsia="zh-CN"/>
              </w:rPr>
              <w:t>内置远程会诊模块，无需下载APP即可开展实时远程视频会诊</w:t>
            </w:r>
          </w:p>
          <w:p w14:paraId="691A11A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w:t>
            </w:r>
            <w:r>
              <w:rPr>
                <w:rFonts w:hint="default" w:asciiTheme="minorEastAsia" w:hAnsiTheme="minorEastAsia" w:eastAsiaTheme="minorEastAsia" w:cstheme="minorEastAsia"/>
                <w:color w:val="auto"/>
                <w:sz w:val="20"/>
                <w:szCs w:val="20"/>
                <w:lang w:val="en-US" w:eastAsia="zh-CN"/>
              </w:rPr>
              <w:t>2.4.3</w:t>
            </w:r>
            <w:r>
              <w:rPr>
                <w:rFonts w:hint="eastAsia" w:asciiTheme="minorEastAsia" w:hAnsiTheme="minorEastAsia" w:eastAsiaTheme="minorEastAsia" w:cstheme="minorEastAsia"/>
                <w:color w:val="auto"/>
                <w:sz w:val="20"/>
                <w:szCs w:val="20"/>
                <w:lang w:val="en-US" w:eastAsia="zh-CN"/>
              </w:rPr>
              <w:t>无需下载APP，支持会诊端手机或平板对操作端超声设备参数调整的反向控制，包括深度、增益、冻结、存图等</w:t>
            </w:r>
          </w:p>
          <w:p w14:paraId="3A21829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2.5</w:t>
            </w:r>
            <w:r>
              <w:rPr>
                <w:rFonts w:hint="eastAsia" w:asciiTheme="minorEastAsia" w:hAnsiTheme="minorEastAsia" w:eastAsiaTheme="minorEastAsia" w:cstheme="minorEastAsia"/>
                <w:color w:val="auto"/>
                <w:sz w:val="20"/>
                <w:szCs w:val="20"/>
                <w:lang w:val="en-US" w:eastAsia="zh-CN"/>
              </w:rPr>
              <w:t>图像管理与记录装置：</w:t>
            </w:r>
          </w:p>
          <w:p w14:paraId="2EE2AB3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2.5.1</w:t>
            </w:r>
            <w:r>
              <w:rPr>
                <w:rFonts w:hint="eastAsia" w:asciiTheme="minorEastAsia" w:hAnsiTheme="minorEastAsia" w:eastAsiaTheme="minorEastAsia" w:cstheme="minorEastAsia"/>
                <w:color w:val="auto"/>
                <w:sz w:val="20"/>
                <w:szCs w:val="20"/>
                <w:lang w:val="en-US" w:eastAsia="zh-CN"/>
              </w:rPr>
              <w:t>大容量硬盘≥240G</w:t>
            </w:r>
          </w:p>
          <w:p w14:paraId="76F99F0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2.5.2</w:t>
            </w:r>
            <w:r>
              <w:rPr>
                <w:rFonts w:hint="eastAsia" w:asciiTheme="minorEastAsia" w:hAnsiTheme="minorEastAsia" w:eastAsiaTheme="minorEastAsia" w:cstheme="minorEastAsia"/>
                <w:color w:val="auto"/>
                <w:sz w:val="20"/>
                <w:szCs w:val="20"/>
                <w:lang w:val="en-US" w:eastAsia="zh-CN"/>
              </w:rPr>
              <w:t>图像可存储为PC兼容格式</w:t>
            </w:r>
          </w:p>
          <w:p w14:paraId="3E54CCB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2.5.3</w:t>
            </w:r>
            <w:r>
              <w:rPr>
                <w:rFonts w:hint="eastAsia" w:asciiTheme="minorEastAsia" w:hAnsiTheme="minorEastAsia" w:eastAsiaTheme="minorEastAsia" w:cstheme="minorEastAsia"/>
                <w:color w:val="auto"/>
                <w:sz w:val="20"/>
                <w:szCs w:val="20"/>
                <w:lang w:val="en-US" w:eastAsia="zh-CN"/>
              </w:rPr>
              <w:t>USB接口支持打印和数据输出</w:t>
            </w:r>
          </w:p>
          <w:p w14:paraId="196FA12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3、技术参数及要求：</w:t>
            </w:r>
          </w:p>
          <w:p w14:paraId="31F5221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3.1</w:t>
            </w:r>
            <w:r>
              <w:rPr>
                <w:rFonts w:hint="eastAsia" w:asciiTheme="minorEastAsia" w:hAnsiTheme="minorEastAsia" w:eastAsiaTheme="minorEastAsia" w:cstheme="minorEastAsia"/>
                <w:color w:val="auto"/>
                <w:sz w:val="20"/>
                <w:szCs w:val="20"/>
                <w:lang w:val="en-US" w:eastAsia="zh-CN"/>
              </w:rPr>
              <w:t>探头规格：</w:t>
            </w:r>
          </w:p>
          <w:p w14:paraId="4476CCD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3.1.1</w:t>
            </w:r>
            <w:r>
              <w:rPr>
                <w:rFonts w:hint="eastAsia" w:asciiTheme="minorEastAsia" w:hAnsiTheme="minorEastAsia" w:eastAsiaTheme="minorEastAsia" w:cstheme="minorEastAsia"/>
                <w:color w:val="auto"/>
                <w:sz w:val="20"/>
                <w:szCs w:val="20"/>
                <w:lang w:val="en-US" w:eastAsia="zh-CN"/>
              </w:rPr>
              <w:t>支持探头类型：凸阵，线阵，相控阵、腔内探头</w:t>
            </w:r>
          </w:p>
          <w:p w14:paraId="307359F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3.1.2</w:t>
            </w:r>
            <w:r>
              <w:rPr>
                <w:rFonts w:hint="eastAsia" w:asciiTheme="minorEastAsia" w:hAnsiTheme="minorEastAsia" w:eastAsiaTheme="minorEastAsia" w:cstheme="minorEastAsia"/>
                <w:color w:val="auto"/>
                <w:sz w:val="20"/>
                <w:szCs w:val="20"/>
                <w:lang w:val="en-US" w:eastAsia="zh-CN"/>
              </w:rPr>
              <w:t>线阵探头有效阵元≥128</w:t>
            </w:r>
          </w:p>
          <w:p w14:paraId="6DF15DF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w:t>
            </w:r>
            <w:r>
              <w:rPr>
                <w:rFonts w:hint="default" w:asciiTheme="minorEastAsia" w:hAnsiTheme="minorEastAsia" w:eastAsiaTheme="minorEastAsia" w:cstheme="minorEastAsia"/>
                <w:color w:val="auto"/>
                <w:sz w:val="20"/>
                <w:szCs w:val="20"/>
                <w:lang w:val="en-US" w:eastAsia="zh-CN"/>
              </w:rPr>
              <w:t>3.1.3</w:t>
            </w:r>
            <w:r>
              <w:rPr>
                <w:rFonts w:hint="eastAsia" w:asciiTheme="minorEastAsia" w:hAnsiTheme="minorEastAsia" w:eastAsiaTheme="minorEastAsia" w:cstheme="minorEastAsia"/>
                <w:color w:val="auto"/>
                <w:sz w:val="20"/>
                <w:szCs w:val="20"/>
                <w:lang w:val="en-US" w:eastAsia="zh-CN"/>
              </w:rPr>
              <w:t>线阵、凸阵探头上自带按键，可远程操控主机</w:t>
            </w:r>
          </w:p>
          <w:p w14:paraId="7483122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3.2</w:t>
            </w:r>
            <w:r>
              <w:rPr>
                <w:rFonts w:hint="eastAsia" w:asciiTheme="minorEastAsia" w:hAnsiTheme="minorEastAsia" w:eastAsiaTheme="minorEastAsia" w:cstheme="minorEastAsia"/>
                <w:color w:val="auto"/>
                <w:sz w:val="20"/>
                <w:szCs w:val="20"/>
                <w:lang w:val="en-US" w:eastAsia="zh-CN"/>
              </w:rPr>
              <w:t>二维图像主要参数：</w:t>
            </w:r>
          </w:p>
          <w:p w14:paraId="48D2636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3.2.1</w:t>
            </w:r>
            <w:r>
              <w:rPr>
                <w:rFonts w:hint="eastAsia" w:asciiTheme="minorEastAsia" w:hAnsiTheme="minorEastAsia" w:eastAsiaTheme="minorEastAsia" w:cstheme="minorEastAsia"/>
                <w:color w:val="auto"/>
                <w:sz w:val="20"/>
                <w:szCs w:val="20"/>
                <w:lang w:val="en-US" w:eastAsia="zh-CN"/>
              </w:rPr>
              <w:t>常用探头工作频率范围（1.0-15.0MHz）</w:t>
            </w:r>
          </w:p>
          <w:p w14:paraId="707780C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凸阵探头频率2.0-5.0MHz</w:t>
            </w:r>
          </w:p>
          <w:p w14:paraId="6299FD5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相控阵探头频率1.0-4.0MHz</w:t>
            </w:r>
          </w:p>
          <w:p w14:paraId="2FE765B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线阵探头频率4.0-15.0MHz</w:t>
            </w:r>
          </w:p>
          <w:p w14:paraId="7DB37F2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3.2.2</w:t>
            </w:r>
            <w:r>
              <w:rPr>
                <w:rFonts w:hint="eastAsia" w:asciiTheme="minorEastAsia" w:hAnsiTheme="minorEastAsia" w:eastAsiaTheme="minorEastAsia" w:cstheme="minorEastAsia"/>
                <w:color w:val="auto"/>
                <w:sz w:val="20"/>
                <w:szCs w:val="20"/>
                <w:lang w:val="en-US" w:eastAsia="zh-CN"/>
              </w:rPr>
              <w:t>数字式声束形成器：数字式全程动态聚焦，数字式可变孔径及动态变速，A/D≥14 BIT</w:t>
            </w:r>
          </w:p>
          <w:p w14:paraId="58D9EE6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3.2.3</w:t>
            </w:r>
            <w:r>
              <w:rPr>
                <w:rFonts w:hint="eastAsia" w:asciiTheme="minorEastAsia" w:hAnsiTheme="minorEastAsia" w:eastAsiaTheme="minorEastAsia" w:cstheme="minorEastAsia"/>
                <w:color w:val="auto"/>
                <w:sz w:val="20"/>
                <w:szCs w:val="20"/>
                <w:lang w:val="en-US" w:eastAsia="zh-CN"/>
              </w:rPr>
              <w:t>电影回放：灰阶图像回放≥16000幅</w:t>
            </w:r>
          </w:p>
          <w:p w14:paraId="34D7562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3.2.4</w:t>
            </w:r>
            <w:r>
              <w:rPr>
                <w:rFonts w:hint="eastAsia" w:asciiTheme="minorEastAsia" w:hAnsiTheme="minorEastAsia" w:eastAsiaTheme="minorEastAsia" w:cstheme="minorEastAsia"/>
                <w:color w:val="auto"/>
                <w:sz w:val="20"/>
                <w:szCs w:val="20"/>
                <w:lang w:val="en-US" w:eastAsia="zh-CN"/>
              </w:rPr>
              <w:t>增益调节：TGC分段≥3</w:t>
            </w:r>
          </w:p>
          <w:p w14:paraId="5229771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3.2.5</w:t>
            </w:r>
            <w:r>
              <w:rPr>
                <w:rFonts w:hint="eastAsia" w:asciiTheme="minorEastAsia" w:hAnsiTheme="minorEastAsia" w:eastAsiaTheme="minorEastAsia" w:cstheme="minorEastAsia"/>
                <w:color w:val="auto"/>
                <w:sz w:val="20"/>
                <w:szCs w:val="20"/>
                <w:lang w:val="en-US" w:eastAsia="zh-CN"/>
              </w:rPr>
              <w:t>扫描深度≥30cm</w:t>
            </w:r>
          </w:p>
          <w:p w14:paraId="47450FF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3.3</w:t>
            </w:r>
            <w:r>
              <w:rPr>
                <w:rFonts w:hint="eastAsia" w:asciiTheme="minorEastAsia" w:hAnsiTheme="minorEastAsia" w:eastAsiaTheme="minorEastAsia" w:cstheme="minorEastAsia"/>
                <w:color w:val="auto"/>
                <w:sz w:val="20"/>
                <w:szCs w:val="20"/>
                <w:lang w:val="en-US" w:eastAsia="zh-CN"/>
              </w:rPr>
              <w:t>频谱多普勒成像技术参数：</w:t>
            </w:r>
          </w:p>
          <w:p w14:paraId="0D7194A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3.3.1</w:t>
            </w:r>
            <w:r>
              <w:rPr>
                <w:rFonts w:hint="eastAsia" w:asciiTheme="minorEastAsia" w:hAnsiTheme="minorEastAsia" w:eastAsiaTheme="minorEastAsia" w:cstheme="minorEastAsia"/>
                <w:color w:val="auto"/>
                <w:sz w:val="20"/>
                <w:szCs w:val="20"/>
                <w:lang w:val="en-US" w:eastAsia="zh-CN"/>
              </w:rPr>
              <w:t>支持方式：PWD、CWD、HPRF</w:t>
            </w:r>
          </w:p>
          <w:p w14:paraId="69E7CD5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3.3.2</w:t>
            </w:r>
            <w:r>
              <w:rPr>
                <w:rFonts w:hint="eastAsia" w:asciiTheme="minorEastAsia" w:hAnsiTheme="minorEastAsia" w:eastAsiaTheme="minorEastAsia" w:cstheme="minorEastAsia"/>
                <w:color w:val="auto"/>
                <w:sz w:val="20"/>
                <w:szCs w:val="20"/>
                <w:lang w:val="en-US" w:eastAsia="zh-CN"/>
              </w:rPr>
              <w:t>最大测量速度：PWD：血流速度最大8.0 m/s</w:t>
            </w:r>
            <w:r>
              <w:rPr>
                <w:rFonts w:hint="eastAsia" w:asciiTheme="minorEastAsia" w:hAnsiTheme="minorEastAsia" w:eastAsiaTheme="minorEastAsia" w:cstheme="minorEastAsia"/>
                <w:color w:val="auto"/>
                <w:sz w:val="20"/>
                <w:szCs w:val="20"/>
                <w:lang w:val="en-US" w:eastAsia="zh-CN"/>
              </w:rPr>
              <w:br w:type="textWrapping"/>
            </w:r>
            <w:r>
              <w:rPr>
                <w:rFonts w:hint="eastAsia" w:asciiTheme="minorEastAsia" w:hAnsiTheme="minorEastAsia" w:eastAsiaTheme="minorEastAsia" w:cstheme="minorEastAsia"/>
                <w:color w:val="auto"/>
                <w:sz w:val="20"/>
                <w:szCs w:val="20"/>
                <w:lang w:val="en-US" w:eastAsia="zh-CN"/>
              </w:rPr>
              <w:t>CWD：血流速度最大35 m/s</w:t>
            </w:r>
          </w:p>
          <w:p w14:paraId="77DB5F5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3.3.3</w:t>
            </w:r>
            <w:r>
              <w:rPr>
                <w:rFonts w:hint="eastAsia" w:asciiTheme="minorEastAsia" w:hAnsiTheme="minorEastAsia" w:eastAsiaTheme="minorEastAsia" w:cstheme="minorEastAsia"/>
                <w:color w:val="auto"/>
                <w:sz w:val="20"/>
                <w:szCs w:val="20"/>
                <w:lang w:val="en-US" w:eastAsia="zh-CN"/>
              </w:rPr>
              <w:t>最低测量速度：≤3 mm/s（非噪声信号）</w:t>
            </w:r>
          </w:p>
          <w:p w14:paraId="4173151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3.3.4</w:t>
            </w:r>
            <w:r>
              <w:rPr>
                <w:rFonts w:hint="eastAsia" w:asciiTheme="minorEastAsia" w:hAnsiTheme="minorEastAsia" w:eastAsiaTheme="minorEastAsia" w:cstheme="minorEastAsia"/>
                <w:color w:val="auto"/>
                <w:sz w:val="20"/>
                <w:szCs w:val="20"/>
                <w:lang w:val="en-US" w:eastAsia="zh-CN"/>
              </w:rPr>
              <w:t>显示方式：B、 B/PWD、B/CW、B/HPRF,、B/M、B/B、B/CFI/D</w:t>
            </w:r>
          </w:p>
          <w:p w14:paraId="3E0296A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3.3.5</w:t>
            </w:r>
            <w:r>
              <w:rPr>
                <w:rFonts w:hint="eastAsia" w:asciiTheme="minorEastAsia" w:hAnsiTheme="minorEastAsia" w:eastAsiaTheme="minorEastAsia" w:cstheme="minorEastAsia"/>
                <w:color w:val="auto"/>
                <w:sz w:val="20"/>
                <w:szCs w:val="20"/>
                <w:lang w:val="en-US" w:eastAsia="zh-CN"/>
              </w:rPr>
              <w:t>电影回放：≥400秒，Doppler及M型电影回放时可以测量和计算</w:t>
            </w:r>
          </w:p>
          <w:p w14:paraId="074E767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3.3.6</w:t>
            </w:r>
            <w:r>
              <w:rPr>
                <w:rFonts w:hint="eastAsia" w:asciiTheme="minorEastAsia" w:hAnsiTheme="minorEastAsia" w:eastAsiaTheme="minorEastAsia" w:cstheme="minorEastAsia"/>
                <w:color w:val="auto"/>
                <w:sz w:val="20"/>
                <w:szCs w:val="20"/>
                <w:lang w:val="en-US" w:eastAsia="zh-CN"/>
              </w:rPr>
              <w:t>零位移动：≥8级</w:t>
            </w:r>
          </w:p>
          <w:p w14:paraId="0B2980B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w:t>
            </w:r>
            <w:r>
              <w:rPr>
                <w:rFonts w:hint="default" w:asciiTheme="minorEastAsia" w:hAnsiTheme="minorEastAsia" w:eastAsiaTheme="minorEastAsia" w:cstheme="minorEastAsia"/>
                <w:color w:val="auto"/>
                <w:sz w:val="20"/>
                <w:szCs w:val="20"/>
                <w:lang w:val="en-US" w:eastAsia="zh-CN"/>
              </w:rPr>
              <w:t>3.3.7</w:t>
            </w:r>
            <w:r>
              <w:rPr>
                <w:rFonts w:hint="eastAsia" w:asciiTheme="minorEastAsia" w:hAnsiTheme="minorEastAsia" w:eastAsiaTheme="minorEastAsia" w:cstheme="minorEastAsia"/>
                <w:color w:val="auto"/>
                <w:sz w:val="20"/>
                <w:szCs w:val="20"/>
                <w:lang w:val="en-US" w:eastAsia="zh-CN"/>
              </w:rPr>
              <w:t>取样宽度及位置范围：宽度 1–30mm；分级</w:t>
            </w:r>
          </w:p>
          <w:p w14:paraId="4A95628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3.4</w:t>
            </w:r>
            <w:r>
              <w:rPr>
                <w:rFonts w:hint="eastAsia" w:asciiTheme="minorEastAsia" w:hAnsiTheme="minorEastAsia" w:eastAsiaTheme="minorEastAsia" w:cstheme="minorEastAsia"/>
                <w:color w:val="auto"/>
                <w:sz w:val="20"/>
                <w:szCs w:val="20"/>
                <w:lang w:val="en-US" w:eastAsia="zh-CN"/>
              </w:rPr>
              <w:t>彩色多普勒</w:t>
            </w:r>
          </w:p>
          <w:p w14:paraId="6393F65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3.4.1</w:t>
            </w:r>
            <w:r>
              <w:rPr>
                <w:rFonts w:hint="eastAsia" w:asciiTheme="minorEastAsia" w:hAnsiTheme="minorEastAsia" w:eastAsiaTheme="minorEastAsia" w:cstheme="minorEastAsia"/>
                <w:color w:val="auto"/>
                <w:sz w:val="20"/>
                <w:szCs w:val="20"/>
                <w:lang w:val="en-US" w:eastAsia="zh-CN"/>
              </w:rPr>
              <w:t>显示方式：能量显示、速度显示、二维图像/频谱多普勒/彩色血流成像三同步显示</w:t>
            </w:r>
          </w:p>
          <w:p w14:paraId="0C111D9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3.4.2</w:t>
            </w:r>
            <w:r>
              <w:rPr>
                <w:rFonts w:hint="eastAsia" w:asciiTheme="minorEastAsia" w:hAnsiTheme="minorEastAsia" w:eastAsiaTheme="minorEastAsia" w:cstheme="minorEastAsia"/>
                <w:color w:val="auto"/>
                <w:sz w:val="20"/>
                <w:szCs w:val="20"/>
                <w:lang w:val="en-US" w:eastAsia="zh-CN"/>
              </w:rPr>
              <w:t>显示控制：零位移动≥8级可调，黑白与彩色比较双实时彩色对比</w:t>
            </w:r>
          </w:p>
          <w:p w14:paraId="747B28F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default" w:asciiTheme="minorEastAsia" w:hAnsiTheme="minorEastAsia" w:eastAsiaTheme="minorEastAsia" w:cstheme="minorEastAsia"/>
                <w:color w:val="auto"/>
                <w:sz w:val="20"/>
                <w:szCs w:val="20"/>
                <w:lang w:val="en-US" w:eastAsia="zh-CN"/>
              </w:rPr>
              <w:t>3.4.3</w:t>
            </w:r>
            <w:r>
              <w:rPr>
                <w:rFonts w:hint="eastAsia" w:asciiTheme="minorEastAsia" w:hAnsiTheme="minorEastAsia" w:eastAsiaTheme="minorEastAsia" w:cstheme="minorEastAsia"/>
                <w:color w:val="auto"/>
                <w:sz w:val="20"/>
                <w:szCs w:val="20"/>
                <w:lang w:val="en-US" w:eastAsia="zh-CN"/>
              </w:rPr>
              <w:t>彩色增强功能：彩色多普勒能量图（CDE）及方向性能量图</w:t>
            </w:r>
          </w:p>
          <w:p w14:paraId="4C140FF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4.配置要求：</w:t>
            </w:r>
          </w:p>
          <w:p w14:paraId="2A868FE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4.1 主机             1台</w:t>
            </w:r>
          </w:p>
          <w:p w14:paraId="4EF705A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 xml:space="preserve">4.2 超声系统软件     1套 </w:t>
            </w:r>
          </w:p>
          <w:p w14:paraId="11E073F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4.3凸阵探头          1个</w:t>
            </w:r>
          </w:p>
          <w:p w14:paraId="531E0A1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4.4相控阵探头        1个</w:t>
            </w:r>
          </w:p>
          <w:p w14:paraId="2138000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4.5线阵探头          1个</w:t>
            </w:r>
          </w:p>
          <w:p w14:paraId="1EF9E11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4.6台车              1台</w:t>
            </w:r>
          </w:p>
          <w:p w14:paraId="33BB1F6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p>
        </w:tc>
        <w:tc>
          <w:tcPr>
            <w:tcW w:w="720" w:type="dxa"/>
            <w:shd w:val="clear" w:color="auto" w:fill="auto"/>
            <w:tcMar>
              <w:left w:w="105" w:type="dxa"/>
              <w:right w:w="105" w:type="dxa"/>
            </w:tcMar>
            <w:vAlign w:val="center"/>
          </w:tcPr>
          <w:p w14:paraId="5638BDDB">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bookmarkStart w:id="6" w:name="_GoBack"/>
            <w:bookmarkEnd w:id="6"/>
          </w:p>
        </w:tc>
      </w:tr>
      <w:tr w14:paraId="58E2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19C77E60">
            <w:pPr>
              <w:keepNext w:val="0"/>
              <w:keepLines w:val="0"/>
              <w:pageBreakBefore w:val="0"/>
              <w:wordWrap/>
              <w:overflowPunct/>
              <w:topLinePunct w:val="0"/>
              <w:bidi w:val="0"/>
              <w:spacing w:line="240" w:lineRule="auto"/>
              <w:jc w:val="center"/>
              <w:rPr>
                <w:rFonts w:hint="default"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2</w:t>
            </w:r>
          </w:p>
        </w:tc>
        <w:tc>
          <w:tcPr>
            <w:tcW w:w="1200" w:type="dxa"/>
            <w:shd w:val="clear" w:color="auto" w:fill="auto"/>
            <w:tcMar>
              <w:left w:w="105" w:type="dxa"/>
              <w:right w:w="105" w:type="dxa"/>
            </w:tcMar>
            <w:vAlign w:val="center"/>
          </w:tcPr>
          <w:p w14:paraId="215AFC9D">
            <w:pPr>
              <w:keepNext w:val="0"/>
              <w:keepLines w:val="0"/>
              <w:pageBreakBefore w:val="0"/>
              <w:wordWrap/>
              <w:overflowPunct/>
              <w:topLinePunct w:val="0"/>
              <w:bidi w:val="0"/>
              <w:spacing w:line="240" w:lineRule="auto"/>
              <w:jc w:val="center"/>
              <w:rPr>
                <w:rFonts w:hint="default"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便携式B超2</w:t>
            </w:r>
          </w:p>
        </w:tc>
        <w:tc>
          <w:tcPr>
            <w:tcW w:w="675" w:type="dxa"/>
            <w:shd w:val="clear" w:color="auto" w:fill="auto"/>
            <w:tcMar>
              <w:left w:w="105" w:type="dxa"/>
              <w:right w:w="105" w:type="dxa"/>
            </w:tcMar>
            <w:vAlign w:val="center"/>
          </w:tcPr>
          <w:p w14:paraId="531A4434">
            <w:pPr>
              <w:keepNext w:val="0"/>
              <w:keepLines w:val="0"/>
              <w:pageBreakBefore w:val="0"/>
              <w:wordWrap/>
              <w:overflowPunct/>
              <w:topLinePunct w:val="0"/>
              <w:bidi w:val="0"/>
              <w:spacing w:line="240" w:lineRule="auto"/>
              <w:jc w:val="center"/>
              <w:rPr>
                <w:rFonts w:hint="default" w:asciiTheme="minorEastAsia" w:hAnsi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315" w:type="dxa"/>
            <w:shd w:val="clear" w:color="auto" w:fill="auto"/>
            <w:tcMar>
              <w:left w:w="105" w:type="dxa"/>
              <w:right w:w="105" w:type="dxa"/>
            </w:tcMar>
            <w:vAlign w:val="center"/>
          </w:tcPr>
          <w:p w14:paraId="1D4E71B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一、设备用途说明：</w:t>
            </w:r>
          </w:p>
          <w:p w14:paraId="524C020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主要用于腹部、妇产，生殖、血管、心脏、浅表组织/乳腺、儿科、新生儿、术中、泌尿、骨骼、TCD、介入引导、神经的超声诊断和科研工作；该设备的整体功能必须具有世界领先水平，系统具有升级能力的设计，以满足将来扩展的新技术之临床应用的需求</w:t>
            </w:r>
          </w:p>
          <w:p w14:paraId="4E2F84F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二、主要技术规格及系统概述：</w:t>
            </w:r>
          </w:p>
          <w:p w14:paraId="39AD87D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1.高档便捷式彩色多普勒超声系统包括：</w:t>
            </w:r>
          </w:p>
          <w:p w14:paraId="5C4DC27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1.1彩色监视器：≥15英寸高分辨率彩色LED显示器</w:t>
            </w:r>
          </w:p>
          <w:p w14:paraId="3853A77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*1.2主机重量（含电池）：≤5kg</w:t>
            </w:r>
          </w:p>
          <w:p w14:paraId="190464C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*1.3主机探头接口：≥2个，非扩展接口。</w:t>
            </w:r>
          </w:p>
          <w:p w14:paraId="5DC1B06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1.4支持探头扩展≥3个</w:t>
            </w:r>
          </w:p>
          <w:p w14:paraId="1C938B1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1.5电池的续航时间（实时扫查下）：≥45分钟</w:t>
            </w:r>
          </w:p>
          <w:p w14:paraId="7FE5B8F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2.操作键盘：物理键盘，主机内置轨迹球，非外接可配置放置便携机的专用台车，带储物盒功能</w:t>
            </w:r>
          </w:p>
          <w:p w14:paraId="116BBA5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3.全数字化超宽频带波束形成器：数字通道≥28000</w:t>
            </w:r>
          </w:p>
          <w:p w14:paraId="344CE92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4.具备数字化高分辨率二维灰阶成像</w:t>
            </w:r>
          </w:p>
          <w:p w14:paraId="0FB58B7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5.具备谐波成像技术</w:t>
            </w:r>
          </w:p>
          <w:p w14:paraId="77135C9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6.具备彩色多普勒</w:t>
            </w:r>
          </w:p>
          <w:p w14:paraId="774FB9F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7.具备能量多普勒（CDE/PDI)，方向能量图</w:t>
            </w:r>
          </w:p>
          <w:p w14:paraId="7C9937D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8.具备解剖M型</w:t>
            </w:r>
          </w:p>
          <w:p w14:paraId="7DD54D9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9.具备脉冲波多普勒，连续波多普勒</w:t>
            </w:r>
          </w:p>
          <w:p w14:paraId="41B1557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10.具备实时血流三同步</w:t>
            </w:r>
          </w:p>
          <w:p w14:paraId="0571B04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11.具备血流的自动频谱包络分析测量</w:t>
            </w:r>
          </w:p>
          <w:p w14:paraId="0482E49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12.具备智能穿刺增强功能，探头可自动识别针体角度，自动调节声束角度与针体垂直</w:t>
            </w:r>
          </w:p>
          <w:p w14:paraId="5D3663D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13.具备实时空间复合成像技术，同时用作发射和接收。≥7线，可做曲别针实验</w:t>
            </w:r>
          </w:p>
          <w:p w14:paraId="1FD09FC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14.具备自适应图像增强技术，清除斑点噪声，提高组织边界对比分辨率</w:t>
            </w:r>
          </w:p>
          <w:p w14:paraId="736575D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15.具备频率复合技术，根据深度自适应调整发射频率，并进行复合。</w:t>
            </w:r>
          </w:p>
          <w:p w14:paraId="0648D0F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16.具备多取样门脉冲多普勒技术：可同时取样不少于2个PW取样门，并能实时显示多个取样门的频谱图像。</w:t>
            </w:r>
          </w:p>
          <w:p w14:paraId="7F9F534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智能一键图像优化技术：能优化B模式、彩色模式、频谱模式的图像。</w:t>
            </w:r>
          </w:p>
          <w:p w14:paraId="1DFFBA2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17.具备测量和分析（B模式，M模式，多普勒模式，彩色模式）</w:t>
            </w:r>
          </w:p>
          <w:p w14:paraId="2B2DD65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17.1一般测量（距离、面积、周长、体积、角度、时间、斜率、心率、流速、压力、流速比等）</w:t>
            </w:r>
          </w:p>
          <w:p w14:paraId="57A9664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17.2具备多普勒血流测量与分析</w:t>
            </w:r>
          </w:p>
          <w:p w14:paraId="28A945C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17.3具备全自动血流多普勒包络分析</w:t>
            </w:r>
          </w:p>
          <w:p w14:paraId="64756E9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17.4测量赋值功能：可以把常规测量赋值到带标签的测量上。</w:t>
            </w:r>
          </w:p>
          <w:p w14:paraId="2371E4C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17.5 IMT颈动脉内中膜自动测量</w:t>
            </w:r>
          </w:p>
          <w:p w14:paraId="182EA4E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18.一体化图像存储（电影）回放重现及病案管理软件：</w:t>
            </w:r>
          </w:p>
          <w:p w14:paraId="2F6C547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超声图像静态、动态存储、原始数据回放重现</w:t>
            </w:r>
          </w:p>
          <w:p w14:paraId="3632DAA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19.病案管理部件包括：病人资料、报告、图像等的存储、修改、检索和打印等</w:t>
            </w:r>
          </w:p>
          <w:p w14:paraId="0F73E2F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20.云端互联功能</w:t>
            </w:r>
          </w:p>
          <w:p w14:paraId="246A93D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*20.1支持手机扫描二维码调阅观察原始图像信息，支持云端自动存储，导出，分析，测量，编辑等功能</w:t>
            </w:r>
          </w:p>
          <w:p w14:paraId="3D946F5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 xml:space="preserve"> 超声主机自带通讯模块，无需借助wifi，即可支持实时远程超声会诊。</w:t>
            </w:r>
          </w:p>
          <w:p w14:paraId="5865461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*20.2无需下载APP即可支持会诊端手机或平板对操作端超声设备参数调整的反向控制，包括深度、增益、测量、冻结、存图等</w:t>
            </w:r>
          </w:p>
          <w:p w14:paraId="7C0F5B4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21.输入/输出信号及参考信号：</w:t>
            </w:r>
          </w:p>
          <w:p w14:paraId="57606D1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21.1输入：网络</w:t>
            </w:r>
          </w:p>
          <w:p w14:paraId="1AF4258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21.2输出：HDMI，S-video，VGA，USB</w:t>
            </w:r>
          </w:p>
          <w:p w14:paraId="2ED853D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22.图像管理与记录装置：</w:t>
            </w:r>
          </w:p>
          <w:p w14:paraId="1A9822D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22.1大容量硬盘≥240G</w:t>
            </w:r>
          </w:p>
          <w:p w14:paraId="186685F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22.2图像可存储为PC兼容格式</w:t>
            </w:r>
          </w:p>
          <w:p w14:paraId="45997EB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22.3 USB接口支持打印和数据输出</w:t>
            </w:r>
          </w:p>
          <w:p w14:paraId="7A73BDA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p>
          <w:p w14:paraId="491B953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23.探头规格：</w:t>
            </w:r>
          </w:p>
          <w:p w14:paraId="0CA92ED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23.1频率：可选配探头频率范围1.0-20.0MHz</w:t>
            </w:r>
          </w:p>
          <w:p w14:paraId="05DA1EC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23.2系统可支持探头最高频率≥20MHz</w:t>
            </w:r>
          </w:p>
          <w:p w14:paraId="2B22484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23.3支持探头类型：凸阵，线阵，相控阵</w:t>
            </w:r>
          </w:p>
          <w:p w14:paraId="6BA82C8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23.4线阵探头有效阵元≥192</w:t>
            </w:r>
          </w:p>
          <w:p w14:paraId="1A1DBE2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24.二维图像主要参数：</w:t>
            </w:r>
          </w:p>
          <w:p w14:paraId="44CE93F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24.1常用探头工作频率范围（1.0-15.0MHz）</w:t>
            </w:r>
          </w:p>
          <w:p w14:paraId="304E268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24.2凸阵探头频率1.0-5.0MHz</w:t>
            </w:r>
          </w:p>
          <w:p w14:paraId="75F15FC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24.3线阵探头频率4.0-15.0MHz</w:t>
            </w:r>
          </w:p>
          <w:p w14:paraId="1BCDEDC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24.4相控阵探头频率1.0-4.0MHz</w:t>
            </w:r>
          </w:p>
          <w:p w14:paraId="1D7A896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25.扫描速率</w:t>
            </w:r>
          </w:p>
          <w:p w14:paraId="73A8D7C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25.1相控阵，18cm 深度时，全视野扫描帧率≥60帧/秒</w:t>
            </w:r>
          </w:p>
          <w:p w14:paraId="23388B4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25.2凸阵探头，18cm深时，全视野扫描帧率≥40帧/秒</w:t>
            </w:r>
          </w:p>
          <w:p w14:paraId="7CF4B94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26.发射声束聚焦≥8段</w:t>
            </w:r>
          </w:p>
          <w:p w14:paraId="5580CF0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27.接收方式：可视可调动态范围≥180db</w:t>
            </w:r>
          </w:p>
          <w:p w14:paraId="08047F3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28.二维灰阶≥256</w:t>
            </w:r>
          </w:p>
          <w:p w14:paraId="2F0AD66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29.数字式声束形成器：数字式全程动态聚焦，数字式可变孔径及动态变速，A/D≥14 BIT</w:t>
            </w:r>
          </w:p>
          <w:p w14:paraId="0CBB8E8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30.电影回放：灰阶图像回放≥16000幅。</w:t>
            </w:r>
          </w:p>
          <w:p w14:paraId="2CDA0D9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31.预设条件：针对不同的检查脏器，预置最佳化图像的检查条件，减少操作时的调节及常用所需的外部调节及组合调节</w:t>
            </w:r>
          </w:p>
          <w:p w14:paraId="733CCEA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32.增益调节：TGC分段≥8</w:t>
            </w:r>
          </w:p>
          <w:p w14:paraId="7047907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33.谐波：所选探头均支持脉冲反相谐波</w:t>
            </w:r>
          </w:p>
          <w:p w14:paraId="42DD180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34.扫描深度≥30cm。</w:t>
            </w:r>
          </w:p>
          <w:p w14:paraId="53DEDA5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35.频谱多普勒成像技术参数：</w:t>
            </w:r>
          </w:p>
          <w:p w14:paraId="18A6B68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35.1支持方式：PWD、CWD、HPRF</w:t>
            </w:r>
          </w:p>
          <w:p w14:paraId="3C2A35A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35.2最大测量速度：PWD：血流速度最大8.5 m/s</w:t>
            </w:r>
            <w:r>
              <w:rPr>
                <w:rFonts w:hint="eastAsia" w:asciiTheme="minorEastAsia" w:hAnsiTheme="minorEastAsia" w:eastAsiaTheme="minorEastAsia" w:cstheme="minorEastAsia"/>
                <w:color w:val="auto"/>
                <w:sz w:val="20"/>
                <w:szCs w:val="20"/>
                <w:lang w:val="en-US" w:eastAsia="zh-CN"/>
              </w:rPr>
              <w:br w:type="textWrapping"/>
            </w:r>
            <w:r>
              <w:rPr>
                <w:rFonts w:hint="eastAsia" w:asciiTheme="minorEastAsia" w:hAnsiTheme="minorEastAsia" w:eastAsiaTheme="minorEastAsia" w:cstheme="minorEastAsia"/>
                <w:color w:val="auto"/>
                <w:sz w:val="20"/>
                <w:szCs w:val="20"/>
                <w:lang w:val="en-US" w:eastAsia="zh-CN"/>
              </w:rPr>
              <w:t>CWD：血流速度最大35 m/s</w:t>
            </w:r>
          </w:p>
          <w:p w14:paraId="72A167E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35.3最低测量速度：≤3 mm/s（非噪声信号）</w:t>
            </w:r>
          </w:p>
          <w:p w14:paraId="089DFA4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35.4显示方式：B、 B/PWD、B/CW、B/HPRF,、B/M、B/B、B/CFI/D</w:t>
            </w:r>
          </w:p>
          <w:p w14:paraId="0631675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36.电影回放：≥410秒，Doppler及M型电影回放时可以测量和计算</w:t>
            </w:r>
          </w:p>
          <w:p w14:paraId="70840E9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37.零位移动：≥8级</w:t>
            </w:r>
          </w:p>
          <w:p w14:paraId="1A0F447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38.取样宽度及位置范围：宽度 1–30mm；</w:t>
            </w:r>
          </w:p>
          <w:p w14:paraId="3374189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p>
          <w:p w14:paraId="0A39EC7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39彩色多普勒</w:t>
            </w:r>
          </w:p>
          <w:p w14:paraId="1FCF9AB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39.1显示方式：能量显示、速度显示、二维图像/频谱多普勒/彩色血流成像三同步显示</w:t>
            </w:r>
          </w:p>
          <w:p w14:paraId="1237B07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39.2彩色显示帧频：</w:t>
            </w:r>
            <w:r>
              <w:rPr>
                <w:rFonts w:hint="eastAsia" w:asciiTheme="minorEastAsia" w:hAnsiTheme="minorEastAsia" w:eastAsiaTheme="minorEastAsia" w:cstheme="minorEastAsia"/>
                <w:color w:val="auto"/>
                <w:sz w:val="20"/>
                <w:szCs w:val="20"/>
                <w:lang w:val="en-US" w:eastAsia="zh-CN"/>
              </w:rPr>
              <w:br w:type="textWrapping"/>
            </w:r>
            <w:r>
              <w:rPr>
                <w:rFonts w:hint="eastAsia" w:asciiTheme="minorEastAsia" w:hAnsiTheme="minorEastAsia" w:eastAsiaTheme="minorEastAsia" w:cstheme="minorEastAsia"/>
                <w:color w:val="auto"/>
                <w:sz w:val="20"/>
                <w:szCs w:val="20"/>
                <w:lang w:val="en-US" w:eastAsia="zh-CN"/>
              </w:rPr>
              <w:t>39.2.1相控阵探头，18cm深时,全视野彩色显示帧频≥15帧/秒</w:t>
            </w:r>
            <w:r>
              <w:rPr>
                <w:rFonts w:hint="eastAsia" w:asciiTheme="minorEastAsia" w:hAnsiTheme="minorEastAsia" w:eastAsiaTheme="minorEastAsia" w:cstheme="minorEastAsia"/>
                <w:color w:val="auto"/>
                <w:sz w:val="20"/>
                <w:szCs w:val="20"/>
                <w:lang w:val="en-US" w:eastAsia="zh-CN"/>
              </w:rPr>
              <w:br w:type="textWrapping"/>
            </w:r>
            <w:r>
              <w:rPr>
                <w:rFonts w:hint="eastAsia" w:asciiTheme="minorEastAsia" w:hAnsiTheme="minorEastAsia" w:eastAsiaTheme="minorEastAsia" w:cstheme="minorEastAsia"/>
                <w:color w:val="auto"/>
                <w:sz w:val="20"/>
                <w:szCs w:val="20"/>
                <w:lang w:val="en-US" w:eastAsia="zh-CN"/>
              </w:rPr>
              <w:t>39.2.2凸阵探头， 18cm深时,全视野彩色显示帧频≥9帧/秒</w:t>
            </w:r>
          </w:p>
          <w:p w14:paraId="7C56A53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39.3偏转角：线阵扫描图像范围：-30°~+30°</w:t>
            </w:r>
          </w:p>
          <w:p w14:paraId="1E21F94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39.4显示控制：零位移动≥8级可调，黑白与彩色比较双实时彩色对比</w:t>
            </w:r>
          </w:p>
          <w:p w14:paraId="084665C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39.5彩色增强功能：彩色多普勒能量图（CDE）及方向性能量图</w:t>
            </w:r>
          </w:p>
          <w:p w14:paraId="319BDE5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超声功率输出调节：B/M、CWD、PWD、Color Doppler输出功率可调。</w:t>
            </w:r>
          </w:p>
          <w:p w14:paraId="35E1B12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p>
          <w:p w14:paraId="6C94AB3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 xml:space="preserve">配置清单： </w:t>
            </w:r>
          </w:p>
          <w:p w14:paraId="6F6ABB5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 xml:space="preserve"> 主机  1台</w:t>
            </w:r>
          </w:p>
          <w:p w14:paraId="7BBE5E1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超声系统基础软件  1套</w:t>
            </w:r>
          </w:p>
          <w:p w14:paraId="25A2AB7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常规测量包  1套</w:t>
            </w:r>
          </w:p>
          <w:p w14:paraId="29B4B3C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凸阵探头  1把</w:t>
            </w:r>
          </w:p>
          <w:p w14:paraId="495DED0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线阵探头  1把</w:t>
            </w:r>
          </w:p>
          <w:p w14:paraId="0FF0127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相控阵探头  1把</w:t>
            </w:r>
          </w:p>
          <w:p w14:paraId="74E5DEB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穿刺架  1把</w:t>
            </w:r>
          </w:p>
          <w:p w14:paraId="175A578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 xml:space="preserve">专用台车 </w:t>
            </w:r>
            <w:r>
              <w:rPr>
                <w:rFonts w:hint="default" w:asciiTheme="minorEastAsia" w:hAnsiTheme="minorEastAsia" w:eastAsiaTheme="minorEastAsia" w:cstheme="minorEastAsia"/>
                <w:color w:val="auto"/>
                <w:sz w:val="20"/>
                <w:szCs w:val="20"/>
                <w:lang w:val="en-US" w:eastAsia="zh-CN"/>
              </w:rPr>
              <w:t>1</w:t>
            </w:r>
            <w:r>
              <w:rPr>
                <w:rFonts w:hint="eastAsia" w:asciiTheme="minorEastAsia" w:hAnsiTheme="minorEastAsia" w:eastAsiaTheme="minorEastAsia" w:cstheme="minorEastAsia"/>
                <w:color w:val="auto"/>
                <w:sz w:val="20"/>
                <w:szCs w:val="20"/>
                <w:lang w:val="en-US" w:eastAsia="zh-CN"/>
              </w:rPr>
              <w:t>台</w:t>
            </w:r>
          </w:p>
          <w:p w14:paraId="4649E94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 xml:space="preserve">超声专用行李箱 </w:t>
            </w:r>
            <w:r>
              <w:rPr>
                <w:rFonts w:hint="default" w:asciiTheme="minorEastAsia" w:hAnsiTheme="minorEastAsia" w:eastAsiaTheme="minorEastAsia" w:cstheme="minorEastAsia"/>
                <w:color w:val="auto"/>
                <w:sz w:val="20"/>
                <w:szCs w:val="20"/>
                <w:lang w:val="en-US" w:eastAsia="zh-CN"/>
              </w:rPr>
              <w:t>1</w:t>
            </w:r>
            <w:r>
              <w:rPr>
                <w:rFonts w:hint="eastAsia" w:asciiTheme="minorEastAsia" w:hAnsiTheme="minorEastAsia" w:eastAsiaTheme="minorEastAsia" w:cstheme="minorEastAsia"/>
                <w:color w:val="auto"/>
                <w:sz w:val="20"/>
                <w:szCs w:val="20"/>
                <w:lang w:val="en-US" w:eastAsia="zh-CN"/>
              </w:rPr>
              <w:t>个</w:t>
            </w:r>
          </w:p>
          <w:p w14:paraId="372171F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p>
        </w:tc>
        <w:tc>
          <w:tcPr>
            <w:tcW w:w="720" w:type="dxa"/>
            <w:shd w:val="clear" w:color="auto" w:fill="auto"/>
            <w:tcMar>
              <w:left w:w="105" w:type="dxa"/>
              <w:right w:w="105" w:type="dxa"/>
            </w:tcMar>
            <w:vAlign w:val="center"/>
          </w:tcPr>
          <w:p w14:paraId="2AD55C41">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r w14:paraId="3017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1A8F2205">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p>
        </w:tc>
        <w:tc>
          <w:tcPr>
            <w:tcW w:w="1200" w:type="dxa"/>
            <w:shd w:val="clear" w:color="auto" w:fill="auto"/>
            <w:tcMar>
              <w:left w:w="105" w:type="dxa"/>
              <w:right w:w="105" w:type="dxa"/>
            </w:tcMar>
            <w:vAlign w:val="center"/>
          </w:tcPr>
          <w:p w14:paraId="1B484DF0">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商务要求</w:t>
            </w:r>
          </w:p>
        </w:tc>
        <w:tc>
          <w:tcPr>
            <w:tcW w:w="675" w:type="dxa"/>
            <w:shd w:val="clear" w:color="auto" w:fill="auto"/>
            <w:tcMar>
              <w:left w:w="105" w:type="dxa"/>
              <w:right w:w="105" w:type="dxa"/>
            </w:tcMar>
            <w:vAlign w:val="center"/>
          </w:tcPr>
          <w:p w14:paraId="64030E17">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p>
        </w:tc>
        <w:tc>
          <w:tcPr>
            <w:tcW w:w="6315" w:type="dxa"/>
            <w:shd w:val="clear" w:color="auto" w:fill="auto"/>
            <w:tcMar>
              <w:left w:w="105" w:type="dxa"/>
              <w:right w:w="105" w:type="dxa"/>
            </w:tcMar>
            <w:vAlign w:val="center"/>
          </w:tcPr>
          <w:p w14:paraId="6DEEF87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w:t>
            </w:r>
            <w:r>
              <w:rPr>
                <w:rFonts w:hint="eastAsia" w:asciiTheme="minorEastAsia" w:hAnsiTheme="minorEastAsia" w:cstheme="minorEastAsia"/>
                <w:color w:val="auto"/>
                <w:sz w:val="20"/>
                <w:szCs w:val="20"/>
                <w:lang w:val="en-US" w:eastAsia="zh-CN"/>
              </w:rPr>
              <w:t>原厂</w:t>
            </w:r>
            <w:r>
              <w:rPr>
                <w:rFonts w:hint="eastAsia" w:asciiTheme="minorEastAsia" w:hAnsiTheme="minorEastAsia" w:eastAsiaTheme="minorEastAsia" w:cstheme="minorEastAsia"/>
                <w:color w:val="auto"/>
                <w:sz w:val="20"/>
                <w:szCs w:val="20"/>
                <w:lang w:val="en-US" w:eastAsia="zh-CN"/>
              </w:rPr>
              <w:t>保修3年</w:t>
            </w:r>
          </w:p>
        </w:tc>
        <w:tc>
          <w:tcPr>
            <w:tcW w:w="720" w:type="dxa"/>
            <w:shd w:val="clear" w:color="auto" w:fill="auto"/>
            <w:tcMar>
              <w:left w:w="105" w:type="dxa"/>
              <w:right w:w="105" w:type="dxa"/>
            </w:tcMar>
            <w:vAlign w:val="center"/>
          </w:tcPr>
          <w:p w14:paraId="7241B8DF">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bl>
    <w:p w14:paraId="0588403C">
      <w:pPr>
        <w:spacing w:line="400" w:lineRule="exact"/>
        <w:ind w:firstLine="420" w:firstLineChars="200"/>
      </w:pPr>
      <w:r>
        <w:rPr>
          <w:rFonts w:hint="eastAsia"/>
        </w:rPr>
        <w:t>二、调查方式</w:t>
      </w:r>
    </w:p>
    <w:p w14:paraId="6228C69A">
      <w:pPr>
        <w:spacing w:line="400" w:lineRule="exact"/>
        <w:ind w:firstLine="420" w:firstLineChars="200"/>
      </w:pPr>
      <w:r>
        <w:rPr>
          <w:rFonts w:hint="eastAsia"/>
        </w:rPr>
        <w:t>问卷调查</w:t>
      </w:r>
    </w:p>
    <w:p w14:paraId="508EB96B">
      <w:pPr>
        <w:spacing w:line="400" w:lineRule="exact"/>
        <w:ind w:firstLine="420" w:firstLineChars="200"/>
      </w:pPr>
      <w:r>
        <w:rPr>
          <w:rFonts w:hint="eastAsia"/>
        </w:rPr>
        <w:t>三、调查要求</w:t>
      </w:r>
    </w:p>
    <w:p w14:paraId="1F354009">
      <w:pPr>
        <w:spacing w:line="400" w:lineRule="exact"/>
        <w:ind w:firstLine="420" w:firstLineChars="200"/>
      </w:pPr>
      <w:r>
        <w:rPr>
          <w:rFonts w:hint="eastAsia"/>
        </w:rPr>
        <w:t>1.资料要求</w:t>
      </w:r>
    </w:p>
    <w:p w14:paraId="6FC157D2">
      <w:pPr>
        <w:spacing w:line="400" w:lineRule="exact"/>
        <w:ind w:firstLine="420" w:firstLineChars="200"/>
      </w:pPr>
      <w:r>
        <w:rPr>
          <w:rFonts w:hint="eastAsia"/>
        </w:rPr>
        <w:t>有意向参加调查的供应商请于202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日起至20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按市场调</w:t>
      </w:r>
      <w:r>
        <w:rPr>
          <w:rFonts w:hint="eastAsia"/>
          <w:lang w:eastAsia="zh-CN"/>
        </w:rPr>
        <w:t>研</w:t>
      </w:r>
      <w:r>
        <w:rPr>
          <w:rFonts w:hint="eastAsia"/>
        </w:rPr>
        <w:t>问卷的要求及格式完成市场</w:t>
      </w:r>
      <w:r>
        <w:rPr>
          <w:rFonts w:hint="eastAsia"/>
          <w:lang w:eastAsia="zh-CN"/>
        </w:rPr>
        <w:t>研</w:t>
      </w:r>
      <w:r>
        <w:rPr>
          <w:rFonts w:hint="eastAsia"/>
        </w:rPr>
        <w:t>查响应文件</w:t>
      </w:r>
      <w:r>
        <w:rPr>
          <w:rFonts w:hint="eastAsia"/>
          <w:lang w:eastAsia="zh-CN"/>
        </w:rPr>
        <w:t>并</w:t>
      </w:r>
      <w:r>
        <w:rPr>
          <w:rFonts w:hint="eastAsia"/>
        </w:rPr>
        <w:t>发送</w:t>
      </w:r>
      <w:r>
        <w:rPr>
          <w:rFonts w:hint="eastAsia"/>
          <w:lang w:eastAsia="zh-CN"/>
        </w:rPr>
        <w:t>调研问卷</w:t>
      </w:r>
      <w:r>
        <w:rPr>
          <w:rFonts w:hint="eastAsia"/>
        </w:rPr>
        <w:t>至邮箱：</w:t>
      </w:r>
      <w:r>
        <w:rPr>
          <w:rFonts w:hint="eastAsia"/>
          <w:lang w:val="en-US" w:eastAsia="zh-CN"/>
        </w:rPr>
        <w:t>316140083@qq.com</w:t>
      </w:r>
      <w:r>
        <w:rPr>
          <w:rFonts w:hint="eastAsia"/>
        </w:rPr>
        <w:t>（邮件格式主题：项目名称+公司名称+调查问卷）</w:t>
      </w:r>
      <w:r>
        <w:rPr>
          <w:rFonts w:hint="eastAsia"/>
          <w:lang w:eastAsia="zh-CN"/>
        </w:rPr>
        <w:t>。</w:t>
      </w:r>
      <w:r>
        <w:rPr>
          <w:rFonts w:hint="eastAsia"/>
        </w:rPr>
        <w:t>市场调</w:t>
      </w:r>
      <w:r>
        <w:rPr>
          <w:rFonts w:hint="eastAsia"/>
          <w:lang w:eastAsia="zh-CN"/>
        </w:rPr>
        <w:t>研</w:t>
      </w:r>
      <w:r>
        <w:rPr>
          <w:rFonts w:hint="eastAsia"/>
        </w:rPr>
        <w:t>响应文件需提供扫描文件（格式：pdf）一份以及可编辑的Word格式电子文件（格式：doc或docx）一份。电子文件命名方式：项目名称+公司名称</w:t>
      </w:r>
    </w:p>
    <w:p w14:paraId="60403203">
      <w:pPr>
        <w:spacing w:line="400" w:lineRule="exact"/>
        <w:ind w:firstLine="420" w:firstLineChars="200"/>
      </w:pPr>
      <w:r>
        <w:rPr>
          <w:rFonts w:hint="eastAsia"/>
        </w:rPr>
        <w:t>2.递交截止时间</w:t>
      </w:r>
    </w:p>
    <w:p w14:paraId="5CDD3C01">
      <w:pPr>
        <w:spacing w:line="400" w:lineRule="exact"/>
        <w:ind w:firstLine="420" w:firstLineChars="200"/>
      </w:pPr>
      <w:r>
        <w:rPr>
          <w:rFonts w:hint="eastAsia"/>
          <w:color w:val="0000FF"/>
        </w:rPr>
        <w:t>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18：00。</w:t>
      </w:r>
    </w:p>
    <w:p w14:paraId="085FFD3F">
      <w:pPr>
        <w:spacing w:line="400" w:lineRule="exact"/>
        <w:ind w:firstLine="420" w:firstLineChars="200"/>
      </w:pPr>
      <w:r>
        <w:rPr>
          <w:rFonts w:hint="eastAsia"/>
        </w:rPr>
        <w:t>3.递交方式</w:t>
      </w:r>
    </w:p>
    <w:p w14:paraId="3628B9AF">
      <w:pPr>
        <w:spacing w:line="400" w:lineRule="exact"/>
        <w:ind w:firstLine="420" w:firstLineChars="200"/>
      </w:pPr>
      <w:r>
        <w:rPr>
          <w:rFonts w:hint="eastAsia"/>
        </w:rPr>
        <w:t>将扫描件、电子文件以邮件附件形式在递交截至时间前发送至电子邮箱：</w:t>
      </w:r>
      <w:r>
        <w:rPr>
          <w:rFonts w:hint="eastAsia"/>
          <w:lang w:val="en-US" w:eastAsia="zh-CN"/>
        </w:rPr>
        <w:t>316140083@qq.com</w:t>
      </w:r>
      <w:r>
        <w:rPr>
          <w:rFonts w:hint="eastAsia"/>
        </w:rPr>
        <w:t>，邮件主题命名格式：项目名称+公司名称。</w:t>
      </w:r>
    </w:p>
    <w:p w14:paraId="7CBB2BA1">
      <w:pPr>
        <w:spacing w:line="400" w:lineRule="exact"/>
        <w:ind w:firstLine="420" w:firstLineChars="200"/>
      </w:pPr>
      <w:r>
        <w:rPr>
          <w:rFonts w:hint="eastAsia"/>
        </w:rPr>
        <w:t>四、联系方式</w:t>
      </w:r>
    </w:p>
    <w:p w14:paraId="1B460377">
      <w:pPr>
        <w:spacing w:line="400" w:lineRule="exact"/>
        <w:ind w:firstLine="420" w:firstLineChars="200"/>
        <w:rPr>
          <w:rFonts w:hint="eastAsia"/>
          <w:lang w:val="en-US" w:eastAsia="zh-CN"/>
        </w:rPr>
      </w:pPr>
      <w:r>
        <w:rPr>
          <w:rFonts w:hint="eastAsia"/>
        </w:rPr>
        <w:t>联系人：</w:t>
      </w:r>
      <w:r>
        <w:rPr>
          <w:rFonts w:hint="eastAsia"/>
          <w:lang w:eastAsia="zh-CN"/>
        </w:rPr>
        <w:t>石</w:t>
      </w:r>
      <w:r>
        <w:rPr>
          <w:rFonts w:hint="eastAsia"/>
          <w:lang w:val="en-US" w:eastAsia="zh-CN"/>
        </w:rPr>
        <w:t>工</w:t>
      </w:r>
    </w:p>
    <w:p w14:paraId="265C9AE8">
      <w:pPr>
        <w:spacing w:line="400" w:lineRule="exact"/>
        <w:ind w:firstLine="420" w:firstLineChars="200"/>
        <w:rPr>
          <w:rFonts w:hint="default" w:eastAsiaTheme="minorEastAsia"/>
          <w:lang w:val="en-US" w:eastAsia="zh-CN"/>
        </w:rPr>
      </w:pPr>
      <w:r>
        <w:rPr>
          <w:rFonts w:hint="eastAsia"/>
        </w:rPr>
        <w:t>电话：0774-5</w:t>
      </w:r>
      <w:r>
        <w:rPr>
          <w:rFonts w:hint="eastAsia"/>
          <w:lang w:val="en-US" w:eastAsia="zh-CN"/>
        </w:rPr>
        <w:t>139083</w:t>
      </w:r>
    </w:p>
    <w:p w14:paraId="75764668">
      <w:pPr>
        <w:spacing w:line="400" w:lineRule="exact"/>
        <w:jc w:val="right"/>
        <w:rPr>
          <w:rFonts w:hint="eastAsia"/>
          <w:color w:val="0000FF"/>
        </w:rPr>
      </w:pPr>
      <w:r>
        <w:rPr>
          <w:rFonts w:hint="eastAsia"/>
        </w:rPr>
        <w:t>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w:t>
      </w:r>
    </w:p>
    <w:p w14:paraId="0765ADD3">
      <w:pPr>
        <w:spacing w:line="400" w:lineRule="exact"/>
        <w:jc w:val="right"/>
        <w:rPr>
          <w:rFonts w:hint="eastAsia"/>
          <w:color w:val="0000FF"/>
        </w:rPr>
      </w:pPr>
    </w:p>
    <w:p w14:paraId="69DF0D00">
      <w:pPr>
        <w:spacing w:line="400" w:lineRule="exact"/>
        <w:jc w:val="right"/>
        <w:rPr>
          <w:rFonts w:hint="eastAsia"/>
          <w:color w:val="0000FF"/>
        </w:rPr>
      </w:pPr>
    </w:p>
    <w:p w14:paraId="73BE7BDA">
      <w:pPr>
        <w:spacing w:line="400" w:lineRule="exact"/>
        <w:jc w:val="right"/>
        <w:rPr>
          <w:rFonts w:hint="eastAsia"/>
          <w:color w:val="0000FF"/>
        </w:rPr>
      </w:pPr>
    </w:p>
    <w:p w14:paraId="01B101C4">
      <w:pPr>
        <w:spacing w:line="400" w:lineRule="exact"/>
        <w:jc w:val="right"/>
        <w:rPr>
          <w:rFonts w:hint="eastAsia"/>
          <w:color w:val="0000FF"/>
        </w:rPr>
      </w:pPr>
    </w:p>
    <w:p w14:paraId="29C3AB02">
      <w:pPr>
        <w:spacing w:line="400" w:lineRule="exact"/>
        <w:jc w:val="right"/>
        <w:rPr>
          <w:rFonts w:hint="eastAsia"/>
          <w:color w:val="0000FF"/>
        </w:rPr>
      </w:pPr>
    </w:p>
    <w:p w14:paraId="634576ED">
      <w:pPr>
        <w:spacing w:line="400" w:lineRule="exact"/>
        <w:jc w:val="right"/>
        <w:rPr>
          <w:rFonts w:hint="eastAsia"/>
          <w:color w:val="0000FF"/>
        </w:rPr>
      </w:pPr>
    </w:p>
    <w:p w14:paraId="2F34CFC7">
      <w:pPr>
        <w:spacing w:line="400" w:lineRule="exact"/>
        <w:jc w:val="right"/>
        <w:rPr>
          <w:rFonts w:hint="eastAsia"/>
          <w:color w:val="0000FF"/>
        </w:rPr>
      </w:pPr>
    </w:p>
    <w:p w14:paraId="6F36672E">
      <w:pPr>
        <w:spacing w:line="400" w:lineRule="exact"/>
        <w:jc w:val="right"/>
        <w:rPr>
          <w:rFonts w:hint="eastAsia"/>
          <w:color w:val="0000FF"/>
        </w:rPr>
      </w:pPr>
    </w:p>
    <w:p w14:paraId="7E1ED3A9">
      <w:pPr>
        <w:spacing w:line="400" w:lineRule="exact"/>
        <w:jc w:val="right"/>
        <w:rPr>
          <w:rFonts w:hint="eastAsia"/>
          <w:color w:val="0000FF"/>
        </w:rPr>
      </w:pPr>
    </w:p>
    <w:p w14:paraId="1D5F3575">
      <w:pPr>
        <w:spacing w:line="400" w:lineRule="exact"/>
        <w:jc w:val="right"/>
        <w:rPr>
          <w:rFonts w:hint="eastAsia"/>
          <w:color w:val="0000FF"/>
        </w:rPr>
      </w:pPr>
    </w:p>
    <w:p w14:paraId="4781EDFA">
      <w:pPr>
        <w:spacing w:line="400" w:lineRule="exact"/>
        <w:jc w:val="right"/>
        <w:rPr>
          <w:rFonts w:hint="eastAsia"/>
          <w:color w:val="0000FF"/>
        </w:rPr>
      </w:pPr>
    </w:p>
    <w:p w14:paraId="590921F9">
      <w:pPr>
        <w:spacing w:line="400" w:lineRule="exact"/>
        <w:jc w:val="right"/>
        <w:rPr>
          <w:rFonts w:hint="eastAsia"/>
          <w:color w:val="0000FF"/>
        </w:rPr>
      </w:pPr>
    </w:p>
    <w:p w14:paraId="497AF517">
      <w:pPr>
        <w:spacing w:line="400" w:lineRule="exact"/>
        <w:jc w:val="right"/>
        <w:rPr>
          <w:rFonts w:hint="eastAsia"/>
          <w:color w:val="0000FF"/>
        </w:rPr>
      </w:pPr>
    </w:p>
    <w:p w14:paraId="097B7678">
      <w:pPr>
        <w:spacing w:line="400" w:lineRule="exact"/>
        <w:jc w:val="right"/>
        <w:rPr>
          <w:rFonts w:hint="eastAsia"/>
          <w:color w:val="0000FF"/>
        </w:rPr>
      </w:pPr>
    </w:p>
    <w:p w14:paraId="32847422">
      <w:pPr>
        <w:spacing w:line="400" w:lineRule="exact"/>
        <w:jc w:val="right"/>
        <w:rPr>
          <w:rFonts w:hint="eastAsia"/>
          <w:color w:val="0000FF"/>
        </w:rPr>
      </w:pPr>
    </w:p>
    <w:p w14:paraId="72ACAA1E">
      <w:pPr>
        <w:spacing w:line="400" w:lineRule="exact"/>
        <w:jc w:val="right"/>
        <w:rPr>
          <w:rFonts w:hint="eastAsia"/>
          <w:color w:val="0000FF"/>
        </w:rPr>
      </w:pPr>
    </w:p>
    <w:p w14:paraId="6D112197">
      <w:pPr>
        <w:spacing w:line="400" w:lineRule="exact"/>
        <w:jc w:val="right"/>
        <w:rPr>
          <w:rFonts w:hint="eastAsia"/>
          <w:color w:val="0000FF"/>
        </w:rPr>
      </w:pPr>
    </w:p>
    <w:p w14:paraId="73C03B4C">
      <w:pPr>
        <w:spacing w:line="400" w:lineRule="exact"/>
        <w:jc w:val="right"/>
        <w:rPr>
          <w:rFonts w:hint="eastAsia"/>
          <w:color w:val="0000FF"/>
        </w:rPr>
      </w:pPr>
    </w:p>
    <w:p w14:paraId="1523F46F">
      <w:pPr>
        <w:spacing w:line="400" w:lineRule="exact"/>
        <w:jc w:val="right"/>
        <w:rPr>
          <w:rFonts w:hint="eastAsia"/>
          <w:color w:val="0000FF"/>
        </w:rPr>
      </w:pPr>
    </w:p>
    <w:p w14:paraId="0399B416">
      <w:pPr>
        <w:spacing w:line="400" w:lineRule="exact"/>
        <w:jc w:val="right"/>
        <w:rPr>
          <w:rFonts w:hint="eastAsia"/>
          <w:color w:val="0000FF"/>
        </w:rPr>
      </w:pPr>
    </w:p>
    <w:p w14:paraId="04709EA4">
      <w:pPr>
        <w:spacing w:line="400" w:lineRule="exact"/>
        <w:jc w:val="right"/>
        <w:rPr>
          <w:rFonts w:hint="eastAsia"/>
          <w:color w:val="0000FF"/>
        </w:rPr>
      </w:pPr>
    </w:p>
    <w:p w14:paraId="667E6F11">
      <w:pPr>
        <w:spacing w:line="400" w:lineRule="exact"/>
        <w:jc w:val="right"/>
        <w:rPr>
          <w:rFonts w:hint="eastAsia"/>
          <w:color w:val="0000FF"/>
        </w:rPr>
      </w:pPr>
    </w:p>
    <w:p w14:paraId="536EC433">
      <w:pPr>
        <w:pStyle w:val="3"/>
        <w:rPr>
          <w:szCs w:val="30"/>
        </w:rPr>
      </w:pPr>
      <w:bookmarkStart w:id="0" w:name="_Toc8052"/>
      <w:r>
        <w:rPr>
          <w:rFonts w:hint="eastAsia"/>
          <w:szCs w:val="30"/>
        </w:rPr>
        <w:t>二、调查内容</w:t>
      </w:r>
    </w:p>
    <w:p w14:paraId="183F1511">
      <w:pPr>
        <w:pStyle w:val="4"/>
        <w:rPr>
          <w:szCs w:val="28"/>
        </w:rPr>
      </w:pPr>
      <w:r>
        <w:rPr>
          <w:rFonts w:hint="eastAsia"/>
          <w:szCs w:val="28"/>
        </w:rPr>
        <w:t>1、问卷邀请函</w:t>
      </w:r>
    </w:p>
    <w:p w14:paraId="0E928252">
      <w:pPr>
        <w:spacing w:line="360" w:lineRule="auto"/>
        <w:jc w:val="left"/>
        <w:rPr>
          <w:rFonts w:ascii="宋体" w:hAnsi="宋体" w:eastAsia="宋体"/>
          <w:sz w:val="24"/>
          <w:szCs w:val="24"/>
        </w:rPr>
      </w:pPr>
      <w:r>
        <w:rPr>
          <w:rFonts w:hint="eastAsia" w:ascii="宋体" w:hAnsi="宋体" w:eastAsia="宋体"/>
          <w:sz w:val="24"/>
          <w:szCs w:val="24"/>
        </w:rPr>
        <w:t>致</w:t>
      </w:r>
      <w:r>
        <w:rPr>
          <w:rFonts w:hint="eastAsia" w:ascii="宋体" w:hAnsi="宋体" w:eastAsia="宋体"/>
          <w:sz w:val="24"/>
          <w:szCs w:val="24"/>
          <w:lang w:eastAsia="zh-CN"/>
        </w:rPr>
        <w:t>贺州市中医医院</w:t>
      </w:r>
      <w:r>
        <w:rPr>
          <w:rFonts w:hint="eastAsia" w:ascii="宋体" w:hAnsi="宋体" w:eastAsia="宋体"/>
          <w:sz w:val="24"/>
          <w:szCs w:val="24"/>
        </w:rPr>
        <w:t>：</w:t>
      </w:r>
    </w:p>
    <w:p w14:paraId="318185C4">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我公司已认真阅读了贵</w:t>
      </w:r>
      <w:r>
        <w:rPr>
          <w:rFonts w:hint="eastAsia" w:ascii="宋体" w:hAnsi="宋体" w:eastAsia="宋体"/>
          <w:sz w:val="24"/>
          <w:szCs w:val="24"/>
          <w:lang w:eastAsia="zh-CN"/>
        </w:rPr>
        <w:t>单位</w:t>
      </w:r>
      <w:r>
        <w:rPr>
          <w:rFonts w:hint="eastAsia" w:ascii="宋体" w:hAnsi="宋体" w:eastAsia="宋体"/>
          <w:sz w:val="24"/>
          <w:szCs w:val="24"/>
        </w:rPr>
        <w:t>编制的采购</w:t>
      </w:r>
      <w:r>
        <w:rPr>
          <w:rFonts w:hint="default" w:ascii="宋体" w:hAnsi="宋体" w:eastAsia="宋体"/>
          <w:sz w:val="24"/>
          <w:szCs w:val="24"/>
        </w:rPr>
        <w:t>市场调研</w:t>
      </w:r>
      <w:r>
        <w:rPr>
          <w:rFonts w:hint="eastAsia" w:ascii="宋体" w:hAnsi="宋体" w:eastAsia="宋体"/>
          <w:sz w:val="24"/>
          <w:szCs w:val="24"/>
          <w:lang w:eastAsia="zh-CN"/>
        </w:rPr>
        <w:t>问卷</w:t>
      </w:r>
      <w:r>
        <w:rPr>
          <w:rFonts w:hint="eastAsia" w:ascii="宋体" w:hAnsi="宋体" w:eastAsia="宋体"/>
          <w:sz w:val="24"/>
          <w:szCs w:val="24"/>
        </w:rPr>
        <w:t>，充分知悉并了解了贵</w:t>
      </w:r>
      <w:r>
        <w:rPr>
          <w:rFonts w:hint="eastAsia" w:ascii="宋体" w:hAnsi="宋体" w:eastAsia="宋体"/>
          <w:sz w:val="24"/>
          <w:szCs w:val="24"/>
          <w:lang w:eastAsia="zh-CN"/>
        </w:rPr>
        <w:t>单位</w:t>
      </w:r>
      <w:r>
        <w:rPr>
          <w:rFonts w:hint="eastAsia" w:ascii="宋体" w:hAnsi="宋体" w:eastAsia="宋体"/>
          <w:sz w:val="24"/>
          <w:szCs w:val="24"/>
        </w:rPr>
        <w:t>针对本次采购需求调查内容，我方针对本次调</w:t>
      </w:r>
      <w:r>
        <w:rPr>
          <w:rFonts w:hint="eastAsia" w:ascii="宋体" w:hAnsi="宋体" w:eastAsia="宋体"/>
          <w:sz w:val="24"/>
          <w:szCs w:val="24"/>
          <w:lang w:eastAsia="zh-CN"/>
        </w:rPr>
        <w:t>研</w:t>
      </w:r>
      <w:r>
        <w:rPr>
          <w:rFonts w:hint="eastAsia" w:ascii="宋体" w:hAnsi="宋体" w:eastAsia="宋体"/>
          <w:sz w:val="24"/>
          <w:szCs w:val="24"/>
        </w:rPr>
        <w:t>问卷的建议或者意见都已在本记录中进行了反映。</w:t>
      </w:r>
    </w:p>
    <w:p w14:paraId="43578E05">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我方同意贵方无偿采用我方提交的采购需求调</w:t>
      </w:r>
      <w:r>
        <w:rPr>
          <w:rFonts w:hint="eastAsia" w:ascii="宋体" w:hAnsi="宋体" w:eastAsia="宋体"/>
          <w:sz w:val="24"/>
          <w:szCs w:val="24"/>
          <w:lang w:eastAsia="zh-CN"/>
        </w:rPr>
        <w:t>研</w:t>
      </w:r>
      <w:r>
        <w:rPr>
          <w:rFonts w:hint="eastAsia" w:ascii="宋体" w:hAnsi="宋体" w:eastAsia="宋体"/>
          <w:sz w:val="24"/>
          <w:szCs w:val="24"/>
        </w:rPr>
        <w:t>问卷全部或部分内容作为贵方采购需求的内容，并无需承担任何责任。</w:t>
      </w:r>
    </w:p>
    <w:p w14:paraId="6190A415">
      <w:pPr>
        <w:spacing w:line="360" w:lineRule="auto"/>
        <w:jc w:val="left"/>
        <w:rPr>
          <w:rFonts w:ascii="宋体" w:hAnsi="宋体" w:eastAsia="宋体"/>
          <w:sz w:val="24"/>
          <w:szCs w:val="24"/>
        </w:rPr>
      </w:pPr>
    </w:p>
    <w:p w14:paraId="714BBC68">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本公司将严格遵守上述事项，并对其真实性负责。</w:t>
      </w:r>
    </w:p>
    <w:p w14:paraId="1F6B7B69">
      <w:pPr>
        <w:spacing w:line="360" w:lineRule="auto"/>
        <w:ind w:firstLine="241" w:firstLineChars="100"/>
        <w:rPr>
          <w:rFonts w:ascii="宋体" w:hAnsi="宋体" w:eastAsia="宋体"/>
          <w:b/>
          <w:bCs/>
          <w:sz w:val="24"/>
          <w:szCs w:val="24"/>
        </w:rPr>
      </w:pPr>
    </w:p>
    <w:p w14:paraId="7978C6BB">
      <w:pPr>
        <w:wordWrap w:val="0"/>
        <w:ind w:firstLine="281" w:firstLineChars="100"/>
        <w:rPr>
          <w:rFonts w:ascii="宋体" w:hAnsi="宋体" w:eastAsia="宋体"/>
          <w:b/>
          <w:bCs/>
          <w:sz w:val="28"/>
          <w:szCs w:val="28"/>
        </w:rPr>
      </w:pPr>
    </w:p>
    <w:p w14:paraId="3545459C">
      <w:pPr>
        <w:spacing w:line="480" w:lineRule="auto"/>
        <w:ind w:right="1205"/>
        <w:jc w:val="right"/>
        <w:rPr>
          <w:rFonts w:ascii="宋体" w:hAnsi="宋体" w:eastAsia="宋体"/>
          <w:b/>
          <w:bCs/>
          <w:sz w:val="24"/>
          <w:szCs w:val="24"/>
          <w:u w:val="single"/>
        </w:rPr>
      </w:pPr>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w:t>
      </w:r>
    </w:p>
    <w:p w14:paraId="065BCFB9">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联系人：</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6369827A">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联系电话：</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4958731A">
      <w:pPr>
        <w:wordWrap w:val="0"/>
        <w:spacing w:line="480" w:lineRule="auto"/>
        <w:ind w:right="844" w:firstLine="4337" w:firstLineChars="1800"/>
        <w:rPr>
          <w:rFonts w:ascii="宋体" w:hAnsi="宋体" w:eastAsia="宋体"/>
          <w:b/>
          <w:bCs/>
          <w:sz w:val="24"/>
          <w:szCs w:val="24"/>
        </w:rPr>
      </w:pPr>
      <w:bookmarkStart w:id="1" w:name="_Hlk85126858"/>
      <w:r>
        <w:rPr>
          <w:rFonts w:hint="eastAsia" w:ascii="宋体" w:hAnsi="宋体" w:eastAsia="宋体"/>
          <w:b/>
          <w:bCs/>
          <w:sz w:val="24"/>
          <w:szCs w:val="24"/>
        </w:rPr>
        <w:t>日    期：2</w:t>
      </w:r>
      <w:r>
        <w:rPr>
          <w:rFonts w:ascii="宋体" w:hAnsi="宋体" w:eastAsia="宋体"/>
          <w:b/>
          <w:bCs/>
          <w:sz w:val="24"/>
          <w:szCs w:val="24"/>
        </w:rPr>
        <w:t>0</w:t>
      </w:r>
      <w:r>
        <w:rPr>
          <w:rFonts w:hint="eastAsia" w:ascii="宋体" w:hAnsi="宋体" w:eastAsia="宋体"/>
          <w:b/>
          <w:bCs/>
          <w:sz w:val="24"/>
          <w:szCs w:val="24"/>
          <w:lang w:val="en-US" w:eastAsia="zh-CN"/>
        </w:rPr>
        <w:t>26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bookmarkEnd w:id="1"/>
    <w:p w14:paraId="5EDA9B15">
      <w:pPr>
        <w:widowControl/>
        <w:jc w:val="left"/>
        <w:rPr>
          <w:szCs w:val="20"/>
        </w:rPr>
      </w:pPr>
      <w:r>
        <w:br w:type="page"/>
      </w:r>
    </w:p>
    <w:p w14:paraId="3DEDEAF3">
      <w:pPr>
        <w:pStyle w:val="4"/>
      </w:pPr>
      <w:r>
        <w:rPr>
          <w:rFonts w:hint="eastAsia"/>
        </w:rPr>
        <w:t>2、</w:t>
      </w:r>
      <w:bookmarkEnd w:id="0"/>
      <w:r>
        <w:rPr>
          <w:rFonts w:hint="eastAsia"/>
        </w:rPr>
        <w:t>资料要求</w:t>
      </w:r>
    </w:p>
    <w:p w14:paraId="3E4997ED">
      <w:pPr>
        <w:pStyle w:val="6"/>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营业执照副本复印件加盖公章</w:t>
      </w:r>
    </w:p>
    <w:p w14:paraId="36FA5EC1">
      <w:pPr>
        <w:pStyle w:val="6"/>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医疗器械经营许可证复印件加盖公章</w:t>
      </w:r>
    </w:p>
    <w:p w14:paraId="2F9F38FC"/>
    <w:p w14:paraId="43A75351"/>
    <w:p w14:paraId="730B3B43">
      <w:pPr>
        <w:widowControl/>
        <w:jc w:val="left"/>
        <w:rPr>
          <w:szCs w:val="20"/>
        </w:rPr>
      </w:pPr>
      <w:r>
        <w:br w:type="page"/>
      </w:r>
    </w:p>
    <w:p w14:paraId="4B7967F0">
      <w:pPr>
        <w:pStyle w:val="4"/>
      </w:pPr>
      <w:bookmarkStart w:id="2" w:name="_Toc24690"/>
      <w:r>
        <w:rPr>
          <w:rFonts w:hint="eastAsia"/>
        </w:rPr>
        <w:t>3、市场调查情况说明</w:t>
      </w:r>
    </w:p>
    <w:p w14:paraId="7EC6A056">
      <w:pPr>
        <w:pStyle w:val="17"/>
        <w:numPr>
          <w:ilvl w:val="0"/>
          <w:numId w:val="1"/>
        </w:numPr>
        <w:spacing w:before="156" w:beforeLines="50" w:line="360" w:lineRule="auto"/>
        <w:ind w:left="1202" w:firstLineChars="0"/>
        <w:jc w:val="left"/>
        <w:rPr>
          <w:sz w:val="24"/>
          <w:szCs w:val="24"/>
        </w:rPr>
      </w:pPr>
      <w:r>
        <w:rPr>
          <w:rFonts w:hint="eastAsia"/>
          <w:b/>
          <w:bCs/>
          <w:sz w:val="24"/>
          <w:szCs w:val="24"/>
        </w:rPr>
        <w:t>相关产业发展情况</w:t>
      </w:r>
      <w:r>
        <w:rPr>
          <w:rFonts w:hint="eastAsia"/>
          <w:sz w:val="24"/>
          <w:szCs w:val="24"/>
        </w:rPr>
        <w:t>（产品市场情况，更新迭代或技术发展的情况描述）</w:t>
      </w:r>
    </w:p>
    <w:p w14:paraId="2C5EAC08">
      <w:pPr>
        <w:pStyle w:val="17"/>
        <w:spacing w:line="360" w:lineRule="auto"/>
        <w:ind w:left="480" w:firstLine="0" w:firstLineChars="0"/>
        <w:jc w:val="left"/>
        <w:rPr>
          <w:sz w:val="24"/>
          <w:szCs w:val="24"/>
        </w:rPr>
      </w:pPr>
      <w:r>
        <w:rPr>
          <w:rFonts w:hint="eastAsia"/>
          <w:sz w:val="24"/>
          <w:szCs w:val="24"/>
        </w:rPr>
        <w:t>如：产品目前已发展到第X代，市场上流行第X代产品，流行的技术和特点等。</w:t>
      </w:r>
    </w:p>
    <w:p w14:paraId="7487F85F">
      <w:pPr>
        <w:pStyle w:val="17"/>
        <w:spacing w:line="360" w:lineRule="auto"/>
        <w:ind w:left="480" w:firstLine="0" w:firstLineChars="0"/>
        <w:jc w:val="left"/>
        <w:rPr>
          <w:sz w:val="24"/>
          <w:szCs w:val="24"/>
        </w:rPr>
      </w:pPr>
    </w:p>
    <w:p w14:paraId="1D23DE5A">
      <w:pPr>
        <w:spacing w:line="360" w:lineRule="auto"/>
        <w:jc w:val="left"/>
        <w:rPr>
          <w:sz w:val="24"/>
          <w:szCs w:val="24"/>
        </w:rPr>
      </w:pPr>
    </w:p>
    <w:p w14:paraId="27064FDD">
      <w:pPr>
        <w:pStyle w:val="17"/>
        <w:numPr>
          <w:ilvl w:val="0"/>
          <w:numId w:val="1"/>
        </w:numPr>
        <w:spacing w:line="360" w:lineRule="auto"/>
        <w:ind w:firstLineChars="0"/>
        <w:jc w:val="left"/>
        <w:rPr>
          <w:b/>
          <w:bCs/>
          <w:sz w:val="24"/>
          <w:szCs w:val="24"/>
        </w:rPr>
      </w:pPr>
      <w:r>
        <w:rPr>
          <w:rFonts w:hint="eastAsia"/>
          <w:b/>
          <w:bCs/>
          <w:sz w:val="24"/>
          <w:szCs w:val="24"/>
        </w:rPr>
        <w:t>产品市场供给情况以及供货周期；</w:t>
      </w:r>
    </w:p>
    <w:p w14:paraId="63E07C0B">
      <w:pPr>
        <w:pStyle w:val="17"/>
        <w:spacing w:line="360" w:lineRule="auto"/>
        <w:ind w:left="1200" w:firstLine="0" w:firstLineChars="0"/>
        <w:jc w:val="left"/>
        <w:rPr>
          <w:sz w:val="24"/>
          <w:szCs w:val="24"/>
        </w:rPr>
      </w:pPr>
      <w:r>
        <w:rPr>
          <w:rFonts w:hint="eastAsia"/>
          <w:sz w:val="24"/>
          <w:szCs w:val="24"/>
        </w:rPr>
        <w:t>如：该产品国内/广西年供应量；产品生产周期，安装周期等。</w:t>
      </w:r>
    </w:p>
    <w:p w14:paraId="42C8B348">
      <w:pPr>
        <w:pStyle w:val="17"/>
        <w:spacing w:line="360" w:lineRule="auto"/>
        <w:ind w:left="1200" w:firstLine="0" w:firstLineChars="0"/>
        <w:jc w:val="left"/>
        <w:rPr>
          <w:sz w:val="24"/>
          <w:szCs w:val="24"/>
        </w:rPr>
      </w:pPr>
    </w:p>
    <w:p w14:paraId="51D13ADA">
      <w:pPr>
        <w:pStyle w:val="17"/>
        <w:numPr>
          <w:ilvl w:val="0"/>
          <w:numId w:val="1"/>
        </w:numPr>
        <w:spacing w:line="360" w:lineRule="auto"/>
        <w:ind w:firstLineChars="0"/>
        <w:jc w:val="left"/>
        <w:rPr>
          <w:b/>
          <w:bCs/>
          <w:sz w:val="24"/>
          <w:szCs w:val="24"/>
        </w:rPr>
      </w:pPr>
      <w:r>
        <w:rPr>
          <w:rFonts w:hint="eastAsia"/>
          <w:b/>
          <w:bCs/>
          <w:sz w:val="24"/>
          <w:szCs w:val="24"/>
        </w:rPr>
        <w:t>可能涉及的运行维护、升级更新、备品备件、耗材等后续维护服务及费用情况；</w:t>
      </w:r>
    </w:p>
    <w:p w14:paraId="31B63851">
      <w:pPr>
        <w:pStyle w:val="17"/>
        <w:spacing w:line="360" w:lineRule="auto"/>
        <w:ind w:left="1200" w:firstLine="0" w:firstLineChars="0"/>
        <w:jc w:val="left"/>
        <w:rPr>
          <w:sz w:val="24"/>
          <w:szCs w:val="24"/>
        </w:rPr>
      </w:pPr>
      <w:r>
        <w:rPr>
          <w:rFonts w:hint="eastAsia"/>
          <w:sz w:val="24"/>
          <w:szCs w:val="24"/>
        </w:rPr>
        <w:t>如：产品需X月进行一次常规检查、保养及费用；产品的软件不定期更新及费用；产品的备品备件、易耗品及费用；产品的维护维修介绍及费用等情况。</w:t>
      </w:r>
    </w:p>
    <w:p w14:paraId="442D5DB9">
      <w:pPr>
        <w:pStyle w:val="17"/>
        <w:spacing w:line="360" w:lineRule="auto"/>
        <w:ind w:left="1200" w:firstLine="0" w:firstLineChars="0"/>
        <w:jc w:val="left"/>
        <w:rPr>
          <w:sz w:val="24"/>
          <w:szCs w:val="24"/>
        </w:rPr>
      </w:pPr>
    </w:p>
    <w:p w14:paraId="63229391">
      <w:pPr>
        <w:pStyle w:val="17"/>
        <w:numPr>
          <w:ilvl w:val="0"/>
          <w:numId w:val="1"/>
        </w:numPr>
        <w:spacing w:line="360" w:lineRule="auto"/>
        <w:ind w:firstLineChars="0"/>
        <w:jc w:val="left"/>
        <w:rPr>
          <w:b/>
          <w:bCs/>
          <w:sz w:val="24"/>
          <w:szCs w:val="24"/>
        </w:rPr>
      </w:pPr>
      <w:r>
        <w:rPr>
          <w:rFonts w:hint="eastAsia"/>
          <w:b/>
          <w:bCs/>
          <w:sz w:val="24"/>
          <w:szCs w:val="24"/>
        </w:rPr>
        <w:t>同类采购项目历史成交信息（格式自拟，附中标（成交）通知书）；</w:t>
      </w:r>
    </w:p>
    <w:tbl>
      <w:tblPr>
        <w:tblStyle w:val="11"/>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387"/>
        <w:gridCol w:w="1913"/>
        <w:gridCol w:w="1199"/>
        <w:gridCol w:w="1295"/>
        <w:gridCol w:w="1360"/>
        <w:gridCol w:w="1328"/>
      </w:tblGrid>
      <w:tr w14:paraId="4E42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6" w:type="dxa"/>
            <w:vAlign w:val="center"/>
          </w:tcPr>
          <w:p w14:paraId="79E837C7">
            <w:pPr>
              <w:pStyle w:val="6"/>
              <w:jc w:val="center"/>
              <w:rPr>
                <w:sz w:val="24"/>
                <w:szCs w:val="24"/>
              </w:rPr>
            </w:pPr>
            <w:r>
              <w:rPr>
                <w:rFonts w:hint="eastAsia"/>
                <w:sz w:val="24"/>
                <w:szCs w:val="24"/>
              </w:rPr>
              <w:t>序号</w:t>
            </w:r>
          </w:p>
        </w:tc>
        <w:tc>
          <w:tcPr>
            <w:tcW w:w="1387" w:type="dxa"/>
            <w:vAlign w:val="center"/>
          </w:tcPr>
          <w:p w14:paraId="27F9A7DA">
            <w:pPr>
              <w:pStyle w:val="6"/>
              <w:jc w:val="center"/>
              <w:rPr>
                <w:sz w:val="24"/>
                <w:szCs w:val="24"/>
              </w:rPr>
            </w:pPr>
            <w:r>
              <w:rPr>
                <w:sz w:val="24"/>
                <w:szCs w:val="24"/>
              </w:rPr>
              <w:t>产品名称</w:t>
            </w:r>
          </w:p>
        </w:tc>
        <w:tc>
          <w:tcPr>
            <w:tcW w:w="1913" w:type="dxa"/>
            <w:vAlign w:val="center"/>
          </w:tcPr>
          <w:p w14:paraId="63E1DB7D">
            <w:pPr>
              <w:pStyle w:val="6"/>
              <w:jc w:val="center"/>
              <w:rPr>
                <w:sz w:val="24"/>
                <w:szCs w:val="24"/>
              </w:rPr>
            </w:pPr>
            <w:r>
              <w:rPr>
                <w:sz w:val="24"/>
                <w:szCs w:val="24"/>
              </w:rPr>
              <w:t>制造商或服务商</w:t>
            </w:r>
          </w:p>
        </w:tc>
        <w:tc>
          <w:tcPr>
            <w:tcW w:w="1199" w:type="dxa"/>
            <w:vAlign w:val="center"/>
          </w:tcPr>
          <w:p w14:paraId="348BF487">
            <w:pPr>
              <w:pStyle w:val="6"/>
              <w:jc w:val="center"/>
              <w:rPr>
                <w:sz w:val="24"/>
                <w:szCs w:val="24"/>
              </w:rPr>
            </w:pPr>
            <w:r>
              <w:rPr>
                <w:sz w:val="24"/>
                <w:szCs w:val="24"/>
              </w:rPr>
              <w:t>规格型号</w:t>
            </w:r>
          </w:p>
        </w:tc>
        <w:tc>
          <w:tcPr>
            <w:tcW w:w="1295" w:type="dxa"/>
            <w:vAlign w:val="center"/>
          </w:tcPr>
          <w:p w14:paraId="3567E33B">
            <w:pPr>
              <w:pStyle w:val="6"/>
              <w:jc w:val="center"/>
              <w:rPr>
                <w:sz w:val="24"/>
                <w:szCs w:val="24"/>
              </w:rPr>
            </w:pPr>
            <w:r>
              <w:rPr>
                <w:rFonts w:hint="eastAsia"/>
                <w:sz w:val="24"/>
                <w:szCs w:val="24"/>
              </w:rPr>
              <w:t>成交价</w:t>
            </w:r>
          </w:p>
        </w:tc>
        <w:tc>
          <w:tcPr>
            <w:tcW w:w="1360" w:type="dxa"/>
            <w:vAlign w:val="center"/>
          </w:tcPr>
          <w:p w14:paraId="2B6674B7">
            <w:pPr>
              <w:pStyle w:val="6"/>
              <w:jc w:val="center"/>
              <w:rPr>
                <w:sz w:val="24"/>
                <w:szCs w:val="24"/>
              </w:rPr>
            </w:pPr>
            <w:r>
              <w:rPr>
                <w:sz w:val="24"/>
                <w:szCs w:val="24"/>
              </w:rPr>
              <w:t>采购单位</w:t>
            </w:r>
          </w:p>
        </w:tc>
        <w:tc>
          <w:tcPr>
            <w:tcW w:w="1328" w:type="dxa"/>
          </w:tcPr>
          <w:p w14:paraId="79E3C148">
            <w:pPr>
              <w:pStyle w:val="6"/>
              <w:jc w:val="center"/>
              <w:rPr>
                <w:sz w:val="24"/>
                <w:szCs w:val="24"/>
              </w:rPr>
            </w:pPr>
            <w:r>
              <w:rPr>
                <w:rFonts w:hint="eastAsia"/>
                <w:sz w:val="24"/>
                <w:szCs w:val="24"/>
              </w:rPr>
              <w:t>成交时间</w:t>
            </w:r>
          </w:p>
        </w:tc>
      </w:tr>
      <w:tr w14:paraId="04E8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06" w:type="dxa"/>
          </w:tcPr>
          <w:p w14:paraId="6F1F6231">
            <w:pPr>
              <w:pStyle w:val="6"/>
              <w:jc w:val="center"/>
              <w:rPr>
                <w:sz w:val="24"/>
                <w:szCs w:val="24"/>
              </w:rPr>
            </w:pPr>
          </w:p>
        </w:tc>
        <w:tc>
          <w:tcPr>
            <w:tcW w:w="1387" w:type="dxa"/>
          </w:tcPr>
          <w:p w14:paraId="1B52B6AF">
            <w:pPr>
              <w:pStyle w:val="6"/>
              <w:jc w:val="center"/>
              <w:rPr>
                <w:sz w:val="24"/>
                <w:szCs w:val="24"/>
              </w:rPr>
            </w:pPr>
          </w:p>
        </w:tc>
        <w:tc>
          <w:tcPr>
            <w:tcW w:w="1913" w:type="dxa"/>
          </w:tcPr>
          <w:p w14:paraId="6F91CA98">
            <w:pPr>
              <w:pStyle w:val="6"/>
              <w:jc w:val="center"/>
              <w:rPr>
                <w:sz w:val="24"/>
                <w:szCs w:val="24"/>
              </w:rPr>
            </w:pPr>
          </w:p>
        </w:tc>
        <w:tc>
          <w:tcPr>
            <w:tcW w:w="1199" w:type="dxa"/>
          </w:tcPr>
          <w:p w14:paraId="17D8146C">
            <w:pPr>
              <w:pStyle w:val="6"/>
              <w:jc w:val="center"/>
              <w:rPr>
                <w:sz w:val="24"/>
                <w:szCs w:val="24"/>
              </w:rPr>
            </w:pPr>
          </w:p>
        </w:tc>
        <w:tc>
          <w:tcPr>
            <w:tcW w:w="1295" w:type="dxa"/>
          </w:tcPr>
          <w:p w14:paraId="3DBA9C20">
            <w:pPr>
              <w:pStyle w:val="6"/>
              <w:jc w:val="center"/>
              <w:rPr>
                <w:sz w:val="24"/>
                <w:szCs w:val="24"/>
              </w:rPr>
            </w:pPr>
          </w:p>
        </w:tc>
        <w:tc>
          <w:tcPr>
            <w:tcW w:w="1360" w:type="dxa"/>
          </w:tcPr>
          <w:p w14:paraId="6C663B1E">
            <w:pPr>
              <w:pStyle w:val="6"/>
              <w:jc w:val="center"/>
              <w:rPr>
                <w:sz w:val="24"/>
                <w:szCs w:val="24"/>
              </w:rPr>
            </w:pPr>
          </w:p>
        </w:tc>
        <w:tc>
          <w:tcPr>
            <w:tcW w:w="1328" w:type="dxa"/>
          </w:tcPr>
          <w:p w14:paraId="0C3EAF0B">
            <w:pPr>
              <w:pStyle w:val="6"/>
              <w:jc w:val="center"/>
              <w:rPr>
                <w:sz w:val="24"/>
                <w:szCs w:val="24"/>
              </w:rPr>
            </w:pPr>
          </w:p>
        </w:tc>
      </w:tr>
      <w:tr w14:paraId="23E2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06" w:type="dxa"/>
          </w:tcPr>
          <w:p w14:paraId="7062F1B6">
            <w:pPr>
              <w:pStyle w:val="6"/>
              <w:jc w:val="center"/>
              <w:rPr>
                <w:sz w:val="24"/>
                <w:szCs w:val="24"/>
              </w:rPr>
            </w:pPr>
          </w:p>
        </w:tc>
        <w:tc>
          <w:tcPr>
            <w:tcW w:w="1387" w:type="dxa"/>
          </w:tcPr>
          <w:p w14:paraId="08628089">
            <w:pPr>
              <w:pStyle w:val="6"/>
              <w:jc w:val="center"/>
              <w:rPr>
                <w:sz w:val="24"/>
                <w:szCs w:val="24"/>
              </w:rPr>
            </w:pPr>
          </w:p>
        </w:tc>
        <w:tc>
          <w:tcPr>
            <w:tcW w:w="1913" w:type="dxa"/>
          </w:tcPr>
          <w:p w14:paraId="2B047814">
            <w:pPr>
              <w:pStyle w:val="6"/>
              <w:jc w:val="center"/>
              <w:rPr>
                <w:sz w:val="24"/>
                <w:szCs w:val="24"/>
              </w:rPr>
            </w:pPr>
          </w:p>
        </w:tc>
        <w:tc>
          <w:tcPr>
            <w:tcW w:w="1199" w:type="dxa"/>
          </w:tcPr>
          <w:p w14:paraId="6BD9ED73">
            <w:pPr>
              <w:pStyle w:val="6"/>
              <w:jc w:val="center"/>
              <w:rPr>
                <w:sz w:val="24"/>
                <w:szCs w:val="24"/>
              </w:rPr>
            </w:pPr>
          </w:p>
        </w:tc>
        <w:tc>
          <w:tcPr>
            <w:tcW w:w="1295" w:type="dxa"/>
          </w:tcPr>
          <w:p w14:paraId="0B2CC433">
            <w:pPr>
              <w:pStyle w:val="6"/>
              <w:jc w:val="center"/>
              <w:rPr>
                <w:sz w:val="24"/>
                <w:szCs w:val="24"/>
              </w:rPr>
            </w:pPr>
          </w:p>
        </w:tc>
        <w:tc>
          <w:tcPr>
            <w:tcW w:w="1360" w:type="dxa"/>
          </w:tcPr>
          <w:p w14:paraId="5D2BA18E">
            <w:pPr>
              <w:pStyle w:val="6"/>
              <w:jc w:val="center"/>
              <w:rPr>
                <w:sz w:val="24"/>
                <w:szCs w:val="24"/>
              </w:rPr>
            </w:pPr>
          </w:p>
        </w:tc>
        <w:tc>
          <w:tcPr>
            <w:tcW w:w="1328" w:type="dxa"/>
          </w:tcPr>
          <w:p w14:paraId="05ADACED">
            <w:pPr>
              <w:pStyle w:val="6"/>
              <w:jc w:val="center"/>
              <w:rPr>
                <w:sz w:val="24"/>
                <w:szCs w:val="24"/>
              </w:rPr>
            </w:pPr>
          </w:p>
        </w:tc>
      </w:tr>
    </w:tbl>
    <w:p w14:paraId="2AFDB5C6">
      <w:pPr>
        <w:pStyle w:val="17"/>
        <w:spacing w:line="360" w:lineRule="auto"/>
        <w:ind w:left="1200" w:firstLine="0" w:firstLineChars="0"/>
        <w:jc w:val="left"/>
        <w:rPr>
          <w:sz w:val="24"/>
          <w:szCs w:val="24"/>
        </w:rPr>
      </w:pPr>
    </w:p>
    <w:p w14:paraId="69202F42">
      <w:pPr>
        <w:pStyle w:val="17"/>
        <w:spacing w:line="360" w:lineRule="auto"/>
        <w:ind w:left="1200" w:firstLine="0" w:firstLineChars="0"/>
        <w:jc w:val="left"/>
        <w:rPr>
          <w:sz w:val="24"/>
          <w:szCs w:val="24"/>
        </w:rPr>
      </w:pPr>
    </w:p>
    <w:p w14:paraId="5DDA8DA7">
      <w:pPr>
        <w:pStyle w:val="6"/>
      </w:pPr>
    </w:p>
    <w:p w14:paraId="6E17E2C6">
      <w:pPr>
        <w:widowControl/>
        <w:jc w:val="left"/>
        <w:rPr>
          <w:b/>
          <w:bCs/>
          <w:sz w:val="28"/>
          <w:szCs w:val="32"/>
        </w:rPr>
      </w:pPr>
      <w:r>
        <w:br w:type="page"/>
      </w:r>
    </w:p>
    <w:p w14:paraId="349BD741">
      <w:pPr>
        <w:pStyle w:val="4"/>
        <w:rPr>
          <w:rFonts w:hint="eastAsia" w:eastAsiaTheme="minorEastAsia"/>
          <w:lang w:eastAsia="zh-CN"/>
        </w:rPr>
      </w:pPr>
      <w:r>
        <w:rPr>
          <w:rFonts w:hint="eastAsia"/>
        </w:rPr>
        <w:t>4、</w:t>
      </w:r>
      <w:r>
        <w:rPr>
          <w:rFonts w:hint="eastAsia"/>
          <w:lang w:eastAsia="zh-CN"/>
        </w:rPr>
        <w:t>该设备具体</w:t>
      </w:r>
      <w:r>
        <w:rPr>
          <w:rFonts w:hint="eastAsia"/>
        </w:rPr>
        <w:t>技术参数</w:t>
      </w:r>
      <w:r>
        <w:rPr>
          <w:rFonts w:hint="eastAsia"/>
          <w:lang w:eastAsia="zh-CN"/>
        </w:rPr>
        <w:t>配置偏离表</w:t>
      </w:r>
    </w:p>
    <w:p w14:paraId="2F1BBD04">
      <w:pPr>
        <w:rPr>
          <w:b/>
          <w:bCs/>
          <w:sz w:val="24"/>
          <w:szCs w:val="24"/>
        </w:rPr>
      </w:pPr>
      <w:r>
        <w:rPr>
          <w:rFonts w:hint="eastAsia"/>
          <w:b/>
          <w:bCs/>
          <w:sz w:val="24"/>
          <w:szCs w:val="24"/>
        </w:rPr>
        <w:t>例：</w:t>
      </w:r>
    </w:p>
    <w:tbl>
      <w:tblPr>
        <w:tblStyle w:val="10"/>
        <w:tblW w:w="9195" w:type="dxa"/>
        <w:tblInd w:w="93" w:type="dxa"/>
        <w:tblLayout w:type="fixed"/>
        <w:tblCellMar>
          <w:top w:w="0" w:type="dxa"/>
          <w:left w:w="108" w:type="dxa"/>
          <w:bottom w:w="0" w:type="dxa"/>
          <w:right w:w="108" w:type="dxa"/>
        </w:tblCellMar>
      </w:tblPr>
      <w:tblGrid>
        <w:gridCol w:w="602"/>
        <w:gridCol w:w="2153"/>
        <w:gridCol w:w="5756"/>
        <w:gridCol w:w="684"/>
      </w:tblGrid>
      <w:tr w14:paraId="72DF684C">
        <w:tblPrEx>
          <w:tblCellMar>
            <w:top w:w="0" w:type="dxa"/>
            <w:left w:w="108" w:type="dxa"/>
            <w:bottom w:w="0" w:type="dxa"/>
            <w:right w:w="108" w:type="dxa"/>
          </w:tblCellMar>
        </w:tblPrEx>
        <w:trPr>
          <w:trHeight w:val="9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56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88A6">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eastAsia="zh-CN" w:bidi="ar"/>
              </w:rPr>
              <w:t>需求参数</w:t>
            </w: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675E">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产品具体</w:t>
            </w:r>
            <w:r>
              <w:rPr>
                <w:rFonts w:hint="eastAsia" w:ascii="宋体" w:hAnsi="宋体" w:eastAsia="宋体" w:cs="宋体"/>
                <w:color w:val="000000"/>
                <w:kern w:val="0"/>
                <w:sz w:val="22"/>
                <w:lang w:bidi="ar"/>
              </w:rPr>
              <w:t>参数</w:t>
            </w:r>
            <w:r>
              <w:rPr>
                <w:rFonts w:hint="eastAsia" w:ascii="宋体" w:hAnsi="宋体" w:eastAsia="宋体" w:cs="宋体"/>
                <w:color w:val="000000"/>
                <w:kern w:val="0"/>
                <w:sz w:val="22"/>
                <w:lang w:eastAsia="zh-CN" w:bidi="ar"/>
              </w:rPr>
              <w:t>及配置</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97A">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是否偏离</w:t>
            </w:r>
          </w:p>
        </w:tc>
      </w:tr>
      <w:tr w14:paraId="15518193">
        <w:tblPrEx>
          <w:tblCellMar>
            <w:top w:w="0" w:type="dxa"/>
            <w:left w:w="108" w:type="dxa"/>
            <w:bottom w:w="0" w:type="dxa"/>
            <w:right w:w="108" w:type="dxa"/>
          </w:tblCellMar>
        </w:tblPrEx>
        <w:trPr>
          <w:trHeight w:val="2844"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EF52">
            <w:pPr>
              <w:widowControl/>
              <w:jc w:val="center"/>
              <w:textAlignment w:val="center"/>
              <w:rPr>
                <w:rFonts w:ascii="宋体" w:hAnsi="宋体" w:eastAsia="宋体" w:cs="宋体"/>
                <w:color w:val="000000"/>
                <w:sz w:val="20"/>
                <w:szCs w:val="20"/>
              </w:rPr>
            </w:pPr>
            <w:r>
              <w:rPr>
                <w:rFonts w:ascii="宋体" w:hAnsi="宋体"/>
                <w:bCs/>
                <w:sz w:val="24"/>
                <w:szCs w:val="24"/>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6CA9">
            <w:pPr>
              <w:widowControl/>
              <w:jc w:val="center"/>
              <w:textAlignment w:val="center"/>
              <w:rPr>
                <w:rFonts w:ascii="宋体" w:hAnsi="宋体" w:eastAsia="宋体" w:cs="宋体"/>
                <w:color w:val="000000"/>
                <w:sz w:val="22"/>
              </w:rPr>
            </w:pP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62F9">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E663">
            <w:pPr>
              <w:jc w:val="left"/>
              <w:rPr>
                <w:rFonts w:ascii="宋体" w:hAnsi="宋体" w:eastAsia="宋体" w:cs="宋体"/>
                <w:color w:val="000000"/>
                <w:sz w:val="20"/>
                <w:szCs w:val="20"/>
              </w:rPr>
            </w:pPr>
          </w:p>
        </w:tc>
      </w:tr>
    </w:tbl>
    <w:p w14:paraId="405D04A3">
      <w:pPr>
        <w:rPr>
          <w:b/>
          <w:bCs/>
          <w:sz w:val="24"/>
          <w:szCs w:val="24"/>
        </w:rPr>
      </w:pPr>
    </w:p>
    <w:p w14:paraId="578B895C">
      <w:pPr>
        <w:spacing w:before="156" w:beforeLines="50" w:line="360" w:lineRule="auto"/>
        <w:ind w:firstLine="482" w:firstLineChars="200"/>
        <w:jc w:val="left"/>
        <w:rPr>
          <w:rFonts w:hint="default" w:eastAsiaTheme="minorEastAsia"/>
          <w:b/>
          <w:bCs/>
          <w:sz w:val="24"/>
          <w:szCs w:val="24"/>
          <w:lang w:val="en-US" w:eastAsia="zh-CN"/>
        </w:rPr>
      </w:pPr>
      <w:r>
        <w:rPr>
          <w:rFonts w:hint="eastAsia"/>
          <w:b/>
          <w:bCs/>
          <w:color w:val="FF0000"/>
          <w:sz w:val="24"/>
          <w:szCs w:val="24"/>
        </w:rPr>
        <w:t>如有标星号的参数，须列举三家能满足的品牌及型号，没有其他品牌型号能满足的参数必须特别标明；</w:t>
      </w:r>
      <w:r>
        <w:rPr>
          <w:rFonts w:hint="eastAsia"/>
          <w:b/>
          <w:bCs/>
          <w:color w:val="FF0000"/>
          <w:sz w:val="24"/>
          <w:szCs w:val="24"/>
          <w:lang w:eastAsia="zh-CN"/>
        </w:rPr>
        <w:t>表中产品参数不可复制粘贴；所提供的参数至少满足不低于</w:t>
      </w:r>
      <w:r>
        <w:rPr>
          <w:rFonts w:hint="eastAsia"/>
          <w:b/>
          <w:bCs/>
          <w:color w:val="FF0000"/>
          <w:sz w:val="24"/>
          <w:szCs w:val="24"/>
          <w:lang w:val="en-US" w:eastAsia="zh-CN"/>
        </w:rPr>
        <w:t>80%的参数无偏离或正偏离。</w:t>
      </w:r>
    </w:p>
    <w:p w14:paraId="459DDA17">
      <w:pPr>
        <w:spacing w:before="156" w:beforeLines="50" w:line="360" w:lineRule="auto"/>
        <w:ind w:firstLine="482" w:firstLineChars="200"/>
        <w:jc w:val="left"/>
        <w:rPr>
          <w:b/>
          <w:bCs/>
          <w:sz w:val="24"/>
          <w:szCs w:val="24"/>
        </w:rPr>
      </w:pPr>
      <w:r>
        <w:rPr>
          <w:rFonts w:hint="eastAsia"/>
          <w:b/>
          <w:bCs/>
          <w:sz w:val="24"/>
          <w:szCs w:val="24"/>
        </w:rPr>
        <w:t>（注：以上表格为例表，供应商根据项目特点自行修改）</w:t>
      </w:r>
    </w:p>
    <w:p w14:paraId="35F6C581">
      <w:pPr>
        <w:widowControl/>
        <w:jc w:val="left"/>
        <w:rPr>
          <w:szCs w:val="20"/>
        </w:rPr>
      </w:pPr>
      <w:r>
        <w:br w:type="page"/>
      </w:r>
    </w:p>
    <w:p w14:paraId="2FE15ECE">
      <w:pPr>
        <w:pStyle w:val="4"/>
      </w:pPr>
      <w:bookmarkStart w:id="3" w:name="_Toc9268"/>
      <w:r>
        <w:rPr>
          <w:rFonts w:hint="eastAsia"/>
        </w:rPr>
        <w:t>5、商务建议文件</w:t>
      </w:r>
      <w:bookmarkEnd w:id="3"/>
    </w:p>
    <w:p w14:paraId="323A30B5">
      <w:pPr>
        <w:spacing w:line="360" w:lineRule="auto"/>
        <w:ind w:firstLine="480" w:firstLineChars="200"/>
        <w:jc w:val="left"/>
        <w:rPr>
          <w:b/>
          <w:bCs/>
          <w:sz w:val="24"/>
          <w:szCs w:val="24"/>
        </w:rPr>
      </w:pPr>
      <w:r>
        <w:rPr>
          <w:rFonts w:hint="eastAsia"/>
          <w:sz w:val="24"/>
          <w:szCs w:val="24"/>
        </w:rPr>
        <w:t>供应商可根据附件所列商务要求提出本行业通行或对有利于项目开展的商务建议，格式自拟。</w:t>
      </w:r>
    </w:p>
    <w:p w14:paraId="5955597A">
      <w:pPr>
        <w:widowControl/>
        <w:jc w:val="left"/>
        <w:rPr>
          <w:szCs w:val="20"/>
        </w:rPr>
      </w:pPr>
    </w:p>
    <w:p w14:paraId="6115AD51">
      <w:pPr>
        <w:widowControl/>
        <w:jc w:val="left"/>
        <w:rPr>
          <w:b/>
          <w:bCs/>
          <w:sz w:val="32"/>
          <w:szCs w:val="32"/>
        </w:rPr>
      </w:pPr>
      <w:r>
        <w:br w:type="page"/>
      </w:r>
    </w:p>
    <w:p w14:paraId="67B8D4A1">
      <w:pPr>
        <w:pStyle w:val="4"/>
      </w:pPr>
      <w:r>
        <w:rPr>
          <w:rFonts w:hint="eastAsia"/>
        </w:rPr>
        <w:t>6、</w:t>
      </w:r>
      <w:bookmarkStart w:id="4" w:name="_Toc37256575"/>
      <w:bookmarkStart w:id="5" w:name="_Toc5245"/>
      <w:r>
        <w:rPr>
          <w:rFonts w:hint="eastAsia"/>
        </w:rPr>
        <w:t>报价一览表</w:t>
      </w:r>
      <w:bookmarkEnd w:id="2"/>
      <w:bookmarkEnd w:id="4"/>
      <w:bookmarkEnd w:id="5"/>
    </w:p>
    <w:tbl>
      <w:tblPr>
        <w:tblStyle w:val="10"/>
        <w:tblW w:w="9677" w:type="dxa"/>
        <w:tblInd w:w="-23" w:type="dxa"/>
        <w:tblLayout w:type="fixed"/>
        <w:tblCellMar>
          <w:top w:w="15" w:type="dxa"/>
          <w:left w:w="15" w:type="dxa"/>
          <w:bottom w:w="15" w:type="dxa"/>
          <w:right w:w="15" w:type="dxa"/>
        </w:tblCellMar>
      </w:tblPr>
      <w:tblGrid>
        <w:gridCol w:w="636"/>
        <w:gridCol w:w="1796"/>
        <w:gridCol w:w="808"/>
        <w:gridCol w:w="1175"/>
        <w:gridCol w:w="2220"/>
        <w:gridCol w:w="1690"/>
        <w:gridCol w:w="1352"/>
      </w:tblGrid>
      <w:tr w14:paraId="47977E4E">
        <w:tblPrEx>
          <w:tblCellMar>
            <w:top w:w="15" w:type="dxa"/>
            <w:left w:w="15" w:type="dxa"/>
            <w:bottom w:w="15" w:type="dxa"/>
            <w:right w:w="15" w:type="dxa"/>
          </w:tblCellMar>
        </w:tblPrEx>
        <w:trPr>
          <w:trHeight w:val="147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15A69F39">
            <w:pPr>
              <w:jc w:val="center"/>
              <w:textAlignment w:val="center"/>
              <w:rPr>
                <w:rFonts w:hAnsi="宋体"/>
                <w:b/>
                <w:bCs/>
                <w:sz w:val="24"/>
                <w:szCs w:val="24"/>
              </w:rPr>
            </w:pPr>
            <w:r>
              <w:rPr>
                <w:rFonts w:hint="eastAsia" w:hAnsi="宋体"/>
                <w:b/>
                <w:bCs/>
                <w:sz w:val="24"/>
                <w:szCs w:val="24"/>
              </w:rPr>
              <w:t>序号</w:t>
            </w:r>
          </w:p>
        </w:tc>
        <w:tc>
          <w:tcPr>
            <w:tcW w:w="1796" w:type="dxa"/>
            <w:tcBorders>
              <w:top w:val="single" w:color="000000" w:sz="4" w:space="0"/>
              <w:left w:val="single" w:color="000000" w:sz="4" w:space="0"/>
              <w:bottom w:val="single" w:color="000000" w:sz="4" w:space="0"/>
              <w:right w:val="single" w:color="000000" w:sz="4" w:space="0"/>
            </w:tcBorders>
            <w:vAlign w:val="center"/>
          </w:tcPr>
          <w:p w14:paraId="58BC1EBD">
            <w:pPr>
              <w:jc w:val="center"/>
              <w:textAlignment w:val="center"/>
              <w:rPr>
                <w:rFonts w:hAnsi="宋体"/>
                <w:b/>
                <w:bCs/>
                <w:sz w:val="24"/>
                <w:szCs w:val="24"/>
              </w:rPr>
            </w:pPr>
            <w:r>
              <w:rPr>
                <w:rFonts w:hint="eastAsia" w:hAnsi="宋体"/>
                <w:b/>
                <w:bCs/>
                <w:sz w:val="24"/>
                <w:szCs w:val="24"/>
              </w:rPr>
              <w:t>设备名称</w:t>
            </w:r>
          </w:p>
        </w:tc>
        <w:tc>
          <w:tcPr>
            <w:tcW w:w="808" w:type="dxa"/>
            <w:tcBorders>
              <w:top w:val="single" w:color="000000" w:sz="4" w:space="0"/>
              <w:left w:val="single" w:color="000000" w:sz="4" w:space="0"/>
              <w:bottom w:val="single" w:color="000000" w:sz="4" w:space="0"/>
              <w:right w:val="single" w:color="000000" w:sz="4" w:space="0"/>
            </w:tcBorders>
            <w:vAlign w:val="center"/>
          </w:tcPr>
          <w:p w14:paraId="653572D6">
            <w:pPr>
              <w:spacing w:line="500" w:lineRule="exact"/>
              <w:jc w:val="center"/>
              <w:rPr>
                <w:rFonts w:hAnsi="宋体"/>
                <w:b/>
                <w:bCs/>
                <w:sz w:val="24"/>
                <w:szCs w:val="24"/>
              </w:rPr>
            </w:pPr>
            <w:r>
              <w:rPr>
                <w:rFonts w:hint="eastAsia" w:hAnsi="宋体"/>
                <w:b/>
                <w:bCs/>
                <w:sz w:val="24"/>
                <w:szCs w:val="24"/>
              </w:rPr>
              <w:t>数量</w:t>
            </w:r>
          </w:p>
        </w:tc>
        <w:tc>
          <w:tcPr>
            <w:tcW w:w="1175" w:type="dxa"/>
            <w:tcBorders>
              <w:top w:val="single" w:color="000000" w:sz="4" w:space="0"/>
              <w:left w:val="single" w:color="000000" w:sz="4" w:space="0"/>
              <w:bottom w:val="single" w:color="000000" w:sz="4" w:space="0"/>
              <w:right w:val="single" w:color="000000" w:sz="4" w:space="0"/>
            </w:tcBorders>
            <w:vAlign w:val="center"/>
          </w:tcPr>
          <w:p w14:paraId="21CCB4B1">
            <w:pPr>
              <w:spacing w:line="500" w:lineRule="exact"/>
              <w:jc w:val="center"/>
              <w:rPr>
                <w:rFonts w:hAnsi="宋体"/>
                <w:b/>
                <w:bCs/>
                <w:sz w:val="24"/>
                <w:szCs w:val="24"/>
              </w:rPr>
            </w:pPr>
            <w:r>
              <w:rPr>
                <w:rFonts w:hint="eastAsia" w:hAnsi="宋体"/>
                <w:b/>
                <w:bCs/>
                <w:sz w:val="24"/>
                <w:szCs w:val="24"/>
              </w:rPr>
              <w:t>品牌</w:t>
            </w:r>
          </w:p>
        </w:tc>
        <w:tc>
          <w:tcPr>
            <w:tcW w:w="2220" w:type="dxa"/>
            <w:tcBorders>
              <w:top w:val="single" w:color="000000" w:sz="4" w:space="0"/>
              <w:left w:val="single" w:color="000000" w:sz="4" w:space="0"/>
              <w:bottom w:val="single" w:color="000000" w:sz="4" w:space="0"/>
              <w:right w:val="single" w:color="000000" w:sz="4" w:space="0"/>
            </w:tcBorders>
            <w:vAlign w:val="center"/>
          </w:tcPr>
          <w:p w14:paraId="693B52CF">
            <w:pPr>
              <w:spacing w:line="500" w:lineRule="exact"/>
              <w:jc w:val="center"/>
              <w:rPr>
                <w:b/>
                <w:bCs/>
                <w:sz w:val="24"/>
                <w:szCs w:val="24"/>
              </w:rPr>
            </w:pPr>
            <w:r>
              <w:rPr>
                <w:rFonts w:hint="eastAsia"/>
                <w:b/>
                <w:bCs/>
                <w:sz w:val="24"/>
                <w:szCs w:val="24"/>
              </w:rPr>
              <w:t>规格型号</w:t>
            </w:r>
          </w:p>
        </w:tc>
        <w:tc>
          <w:tcPr>
            <w:tcW w:w="1690" w:type="dxa"/>
            <w:tcBorders>
              <w:top w:val="single" w:color="000000" w:sz="4" w:space="0"/>
              <w:left w:val="single" w:color="000000" w:sz="4" w:space="0"/>
              <w:bottom w:val="single" w:color="000000" w:sz="4" w:space="0"/>
              <w:right w:val="single" w:color="000000" w:sz="4" w:space="0"/>
            </w:tcBorders>
            <w:vAlign w:val="center"/>
          </w:tcPr>
          <w:p w14:paraId="6B7DDCCF">
            <w:pPr>
              <w:spacing w:line="500" w:lineRule="exact"/>
              <w:jc w:val="center"/>
              <w:rPr>
                <w:b/>
                <w:bCs/>
                <w:sz w:val="24"/>
                <w:szCs w:val="24"/>
              </w:rPr>
            </w:pPr>
            <w:r>
              <w:rPr>
                <w:rFonts w:hint="eastAsia"/>
                <w:b/>
                <w:bCs/>
                <w:sz w:val="24"/>
                <w:szCs w:val="24"/>
              </w:rPr>
              <w:t>金额（元）</w:t>
            </w:r>
          </w:p>
        </w:tc>
        <w:tc>
          <w:tcPr>
            <w:tcW w:w="1352" w:type="dxa"/>
            <w:tcBorders>
              <w:top w:val="single" w:color="000000" w:sz="4" w:space="0"/>
              <w:left w:val="single" w:color="000000" w:sz="4" w:space="0"/>
              <w:bottom w:val="single" w:color="000000" w:sz="4" w:space="0"/>
              <w:right w:val="single" w:color="000000" w:sz="4" w:space="0"/>
            </w:tcBorders>
            <w:vAlign w:val="center"/>
          </w:tcPr>
          <w:p w14:paraId="03563A24">
            <w:pPr>
              <w:spacing w:line="500" w:lineRule="exact"/>
              <w:jc w:val="center"/>
              <w:rPr>
                <w:rFonts w:hAnsi="宋体"/>
                <w:b/>
                <w:bCs/>
                <w:sz w:val="24"/>
                <w:szCs w:val="24"/>
              </w:rPr>
            </w:pPr>
            <w:r>
              <w:rPr>
                <w:rFonts w:hint="eastAsia"/>
                <w:b/>
                <w:bCs/>
                <w:sz w:val="24"/>
                <w:szCs w:val="24"/>
              </w:rPr>
              <w:t>备注</w:t>
            </w:r>
          </w:p>
        </w:tc>
      </w:tr>
      <w:tr w14:paraId="2DB662B4">
        <w:tblPrEx>
          <w:tblCellMar>
            <w:top w:w="15" w:type="dxa"/>
            <w:left w:w="15" w:type="dxa"/>
            <w:bottom w:w="15" w:type="dxa"/>
            <w:right w:w="15" w:type="dxa"/>
          </w:tblCellMar>
        </w:tblPrEx>
        <w:trPr>
          <w:trHeight w:val="135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3DE87CD1">
            <w:pPr>
              <w:jc w:val="center"/>
              <w:rPr>
                <w:rFonts w:ascii="宋体" w:hAnsi="宋体" w:cs="宋体"/>
                <w:sz w:val="24"/>
                <w:szCs w:val="24"/>
              </w:rPr>
            </w:pPr>
            <w:r>
              <w:rPr>
                <w:rFonts w:ascii="宋体" w:hAnsi="宋体"/>
                <w:bCs/>
                <w:sz w:val="24"/>
                <w:szCs w:val="24"/>
              </w:rPr>
              <w:t>1</w:t>
            </w:r>
          </w:p>
        </w:tc>
        <w:tc>
          <w:tcPr>
            <w:tcW w:w="1796" w:type="dxa"/>
            <w:tcBorders>
              <w:top w:val="single" w:color="000000" w:sz="4" w:space="0"/>
              <w:left w:val="single" w:color="000000" w:sz="4" w:space="0"/>
              <w:bottom w:val="single" w:color="000000" w:sz="4" w:space="0"/>
              <w:right w:val="single" w:color="000000" w:sz="4" w:space="0"/>
            </w:tcBorders>
            <w:vAlign w:val="center"/>
          </w:tcPr>
          <w:p w14:paraId="6E2701EF">
            <w:pPr>
              <w:widowControl/>
              <w:jc w:val="center"/>
              <w:rPr>
                <w:rFonts w:ascii="宋体" w:hAnsi="宋体" w:cs="宋体"/>
                <w:sz w:val="24"/>
                <w:szCs w:val="24"/>
              </w:rPr>
            </w:pPr>
          </w:p>
        </w:tc>
        <w:tc>
          <w:tcPr>
            <w:tcW w:w="808" w:type="dxa"/>
            <w:tcBorders>
              <w:top w:val="single" w:color="000000" w:sz="4" w:space="0"/>
              <w:left w:val="single" w:color="000000" w:sz="4" w:space="0"/>
              <w:bottom w:val="single" w:color="000000" w:sz="4" w:space="0"/>
              <w:right w:val="single" w:color="000000" w:sz="4" w:space="0"/>
            </w:tcBorders>
            <w:vAlign w:val="center"/>
          </w:tcPr>
          <w:p w14:paraId="6CBFDB7A">
            <w:pPr>
              <w:jc w:val="center"/>
              <w:textAlignment w:val="center"/>
              <w:rPr>
                <w:rFonts w:hint="eastAsia" w:ascii="宋体" w:hAnsi="宋体" w:cs="宋体" w:eastAsiaTheme="minorEastAsia"/>
                <w:sz w:val="24"/>
                <w:szCs w:val="24"/>
                <w:lang w:eastAsia="zh-CN"/>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7CBA92EE">
            <w:pPr>
              <w:jc w:val="center"/>
              <w:textAlignment w:val="center"/>
              <w:rPr>
                <w:rFonts w:ascii="宋体" w:hAnsi="宋体" w:cs="宋体"/>
                <w:sz w:val="24"/>
                <w:szCs w:val="24"/>
              </w:rPr>
            </w:pPr>
          </w:p>
        </w:tc>
        <w:tc>
          <w:tcPr>
            <w:tcW w:w="2220" w:type="dxa"/>
            <w:tcBorders>
              <w:top w:val="single" w:color="000000" w:sz="4" w:space="0"/>
              <w:left w:val="single" w:color="000000" w:sz="4" w:space="0"/>
              <w:bottom w:val="single" w:color="000000" w:sz="4" w:space="0"/>
              <w:right w:val="single" w:color="000000" w:sz="4" w:space="0"/>
            </w:tcBorders>
            <w:vAlign w:val="center"/>
          </w:tcPr>
          <w:p w14:paraId="609B8565">
            <w:pPr>
              <w:jc w:val="center"/>
              <w:textAlignment w:val="center"/>
              <w:rPr>
                <w:rFonts w:ascii="宋体" w:hAnsi="宋体" w:cs="宋体"/>
                <w:sz w:val="24"/>
                <w:szCs w:val="24"/>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2DC1E4C">
            <w:pPr>
              <w:jc w:val="center"/>
              <w:textAlignment w:val="center"/>
              <w:rPr>
                <w:rFonts w:ascii="宋体" w:hAnsi="宋体" w:cs="宋体"/>
                <w:sz w:val="24"/>
                <w:szCs w:val="24"/>
              </w:rPr>
            </w:pPr>
          </w:p>
        </w:tc>
        <w:tc>
          <w:tcPr>
            <w:tcW w:w="1352" w:type="dxa"/>
            <w:tcBorders>
              <w:top w:val="single" w:color="000000" w:sz="4" w:space="0"/>
              <w:left w:val="single" w:color="000000" w:sz="4" w:space="0"/>
              <w:bottom w:val="single" w:color="000000" w:sz="4" w:space="0"/>
              <w:right w:val="single" w:color="000000" w:sz="4" w:space="0"/>
            </w:tcBorders>
            <w:vAlign w:val="center"/>
          </w:tcPr>
          <w:p w14:paraId="1B4153A3">
            <w:pPr>
              <w:jc w:val="center"/>
              <w:textAlignment w:val="center"/>
              <w:rPr>
                <w:rFonts w:ascii="宋体" w:hAnsi="宋体" w:cs="宋体"/>
                <w:sz w:val="24"/>
                <w:szCs w:val="24"/>
              </w:rPr>
            </w:pPr>
          </w:p>
        </w:tc>
      </w:tr>
      <w:tr w14:paraId="75988DE6">
        <w:tblPrEx>
          <w:tblCellMar>
            <w:top w:w="15" w:type="dxa"/>
            <w:left w:w="15" w:type="dxa"/>
            <w:bottom w:w="15" w:type="dxa"/>
            <w:right w:w="15" w:type="dxa"/>
          </w:tblCellMar>
        </w:tblPrEx>
        <w:trPr>
          <w:trHeight w:val="1355" w:hRule="atLeast"/>
        </w:trPr>
        <w:tc>
          <w:tcPr>
            <w:tcW w:w="9677" w:type="dxa"/>
            <w:gridSpan w:val="7"/>
            <w:tcBorders>
              <w:top w:val="single" w:color="000000" w:sz="4" w:space="0"/>
              <w:left w:val="single" w:color="000000" w:sz="4" w:space="0"/>
              <w:bottom w:val="single" w:color="000000" w:sz="4" w:space="0"/>
              <w:right w:val="single" w:color="000000" w:sz="4" w:space="0"/>
            </w:tcBorders>
            <w:vAlign w:val="center"/>
          </w:tcPr>
          <w:p w14:paraId="7A760774">
            <w:pPr>
              <w:jc w:val="center"/>
              <w:textAlignment w:val="center"/>
              <w:rPr>
                <w:rFonts w:ascii="宋体" w:hAnsi="宋体" w:cs="宋体"/>
                <w:sz w:val="24"/>
                <w:szCs w:val="24"/>
              </w:rPr>
            </w:pPr>
            <w:r>
              <w:rPr>
                <w:rFonts w:hint="eastAsia" w:ascii="宋体" w:hAnsi="宋体" w:cs="宋体"/>
                <w:sz w:val="24"/>
                <w:szCs w:val="24"/>
              </w:rPr>
              <w:t>合计（元）：                 大写（元）：</w:t>
            </w:r>
          </w:p>
        </w:tc>
      </w:tr>
    </w:tbl>
    <w:p w14:paraId="79BF9DC2"/>
    <w:p w14:paraId="115112DB">
      <w:pPr>
        <w:pStyle w:val="6"/>
      </w:pPr>
    </w:p>
    <w:p w14:paraId="1A3DC288">
      <w:pPr>
        <w:wordWrap w:val="0"/>
        <w:ind w:firstLine="480" w:firstLineChars="200"/>
        <w:rPr>
          <w:color w:val="000000"/>
          <w:sz w:val="24"/>
          <w:szCs w:val="24"/>
        </w:rPr>
      </w:pPr>
      <w:r>
        <w:rPr>
          <w:rFonts w:hint="eastAsia"/>
          <w:color w:val="000000"/>
          <w:sz w:val="24"/>
          <w:szCs w:val="24"/>
        </w:rPr>
        <w:t>注：以上报价应包含本项目所需的一切费用。</w:t>
      </w:r>
    </w:p>
    <w:p w14:paraId="41C0678D">
      <w:pPr>
        <w:rPr>
          <w:rFonts w:ascii="宋体" w:hAnsi="宋体" w:eastAsia="宋体"/>
          <w:sz w:val="24"/>
          <w:szCs w:val="24"/>
        </w:rPr>
      </w:pPr>
    </w:p>
    <w:p w14:paraId="4BFB662C">
      <w:pPr>
        <w:jc w:val="right"/>
        <w:rPr>
          <w:rFonts w:ascii="宋体" w:hAnsi="宋体" w:eastAsia="宋体"/>
          <w:sz w:val="24"/>
          <w:szCs w:val="24"/>
        </w:rPr>
      </w:pPr>
      <w:r>
        <w:rPr>
          <w:rFonts w:hint="eastAsia" w:ascii="宋体" w:hAnsi="宋体" w:eastAsia="宋体"/>
          <w:sz w:val="24"/>
          <w:szCs w:val="24"/>
        </w:rPr>
        <w:t>单位名称：</w:t>
      </w:r>
      <w:r>
        <w:rPr>
          <w:rFonts w:ascii="宋体" w:hAnsi="宋体" w:eastAsia="宋体"/>
          <w:sz w:val="24"/>
          <w:szCs w:val="24"/>
          <w:u w:val="single"/>
        </w:rPr>
        <w:t xml:space="preserve">              </w:t>
      </w:r>
      <w:r>
        <w:rPr>
          <w:rFonts w:hint="eastAsia" w:ascii="宋体" w:hAnsi="宋体" w:eastAsia="宋体"/>
          <w:sz w:val="24"/>
          <w:szCs w:val="24"/>
        </w:rPr>
        <w:t>（单位盖章）</w:t>
      </w:r>
    </w:p>
    <w:p w14:paraId="237EAD05">
      <w:pPr>
        <w:pStyle w:val="6"/>
      </w:pPr>
    </w:p>
    <w:p w14:paraId="14365B7C">
      <w:pPr>
        <w:widowControl/>
        <w:jc w:val="right"/>
        <w:rPr>
          <w:szCs w:val="20"/>
        </w:rPr>
      </w:pPr>
      <w:r>
        <w:rPr>
          <w:rFonts w:hint="eastAsia"/>
          <w:color w:val="000000"/>
          <w:sz w:val="24"/>
          <w:szCs w:val="24"/>
        </w:rPr>
        <w:t>日    期：202</w:t>
      </w:r>
      <w:r>
        <w:rPr>
          <w:rFonts w:hint="eastAsia"/>
          <w:color w:val="000000"/>
          <w:sz w:val="24"/>
          <w:szCs w:val="24"/>
          <w:lang w:val="en-US" w:eastAsia="zh-CN"/>
        </w:rPr>
        <w:t>6</w:t>
      </w:r>
      <w:r>
        <w:rPr>
          <w:rFonts w:hint="eastAsia"/>
          <w:color w:val="000000"/>
          <w:sz w:val="24"/>
          <w:szCs w:val="24"/>
        </w:rPr>
        <w:t xml:space="preserve">年  月 </w:t>
      </w:r>
      <w:r>
        <w:rPr>
          <w:color w:val="000000"/>
          <w:sz w:val="24"/>
          <w:szCs w:val="24"/>
        </w:rPr>
        <w:t xml:space="preserve"> </w:t>
      </w:r>
      <w:r>
        <w:rPr>
          <w:rFonts w:hint="eastAsia"/>
          <w:color w:val="000000"/>
          <w:sz w:val="24"/>
          <w:szCs w:val="24"/>
        </w:rPr>
        <w:t>日</w:t>
      </w:r>
    </w:p>
    <w:p w14:paraId="6958C29E">
      <w:pPr>
        <w:pStyle w:val="6"/>
      </w:pPr>
    </w:p>
    <w:p w14:paraId="6A334546">
      <w:pPr>
        <w:pStyle w:val="6"/>
      </w:pPr>
    </w:p>
    <w:p w14:paraId="2BF12453">
      <w:pPr>
        <w:pStyle w:val="6"/>
      </w:pPr>
    </w:p>
    <w:p w14:paraId="596DA215">
      <w:pPr>
        <w:pStyle w:val="6"/>
      </w:pPr>
    </w:p>
    <w:p w14:paraId="51D4CD71">
      <w:pPr>
        <w:pStyle w:val="6"/>
      </w:pPr>
    </w:p>
    <w:p w14:paraId="12B26632">
      <w:pPr>
        <w:pStyle w:val="6"/>
      </w:pPr>
    </w:p>
    <w:p w14:paraId="0D657DF5">
      <w:pPr>
        <w:pStyle w:val="6"/>
      </w:pPr>
    </w:p>
    <w:p w14:paraId="6A0BB67D">
      <w:pPr>
        <w:pStyle w:val="6"/>
      </w:pPr>
    </w:p>
    <w:p w14:paraId="6C9EBD66">
      <w:pPr>
        <w:pStyle w:val="4"/>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潜在供应商认为需要提供其他说明或相关资料</w:t>
      </w:r>
    </w:p>
    <w:p w14:paraId="5B93AAFF">
      <w:pPr>
        <w:spacing w:line="400" w:lineRule="exact"/>
        <w:rPr>
          <w:rFonts w:ascii="宋体" w:hAnsi="宋体" w:eastAsia="宋体" w:cs="宋体"/>
          <w:szCs w:val="21"/>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auto"/>
    <w:pitch w:val="default"/>
    <w:sig w:usb0="00000000" w:usb1="00000000" w:usb2="00000000" w:usb3="00000000" w:csb0="2000019F" w:csb1="0000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4F36C3"/>
    <w:multiLevelType w:val="multilevel"/>
    <w:tmpl w:val="1C4F36C3"/>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mZjQyYjZlMzdlMWI1ZDcyNTQ2N2JmYzFkNjFjOGYifQ=="/>
  </w:docVars>
  <w:rsids>
    <w:rsidRoot w:val="00000000"/>
    <w:rsid w:val="03213297"/>
    <w:rsid w:val="0A2B6294"/>
    <w:rsid w:val="10515849"/>
    <w:rsid w:val="10A342B4"/>
    <w:rsid w:val="114212E5"/>
    <w:rsid w:val="117B35FD"/>
    <w:rsid w:val="122D02D9"/>
    <w:rsid w:val="14731246"/>
    <w:rsid w:val="160C2B35"/>
    <w:rsid w:val="1681338D"/>
    <w:rsid w:val="16D8458B"/>
    <w:rsid w:val="1CBA09BB"/>
    <w:rsid w:val="1D351720"/>
    <w:rsid w:val="1D79513F"/>
    <w:rsid w:val="238C64A5"/>
    <w:rsid w:val="25A16BBC"/>
    <w:rsid w:val="260414BA"/>
    <w:rsid w:val="26785286"/>
    <w:rsid w:val="268765B7"/>
    <w:rsid w:val="27865287"/>
    <w:rsid w:val="2B894753"/>
    <w:rsid w:val="2EA045CD"/>
    <w:rsid w:val="33694A9C"/>
    <w:rsid w:val="34CE72A2"/>
    <w:rsid w:val="35045B31"/>
    <w:rsid w:val="37621F23"/>
    <w:rsid w:val="3A1219DE"/>
    <w:rsid w:val="3D8E4AC7"/>
    <w:rsid w:val="40CE4A65"/>
    <w:rsid w:val="431C5BFA"/>
    <w:rsid w:val="44FE4C88"/>
    <w:rsid w:val="45576E3F"/>
    <w:rsid w:val="464C1549"/>
    <w:rsid w:val="47355901"/>
    <w:rsid w:val="49624616"/>
    <w:rsid w:val="49F35BEF"/>
    <w:rsid w:val="4D2453B4"/>
    <w:rsid w:val="4D673998"/>
    <w:rsid w:val="51960CEF"/>
    <w:rsid w:val="519D207E"/>
    <w:rsid w:val="529E7E5B"/>
    <w:rsid w:val="57BE4AFC"/>
    <w:rsid w:val="581B3CFC"/>
    <w:rsid w:val="5BA2386D"/>
    <w:rsid w:val="5BC77AB3"/>
    <w:rsid w:val="607E12CC"/>
    <w:rsid w:val="608721D8"/>
    <w:rsid w:val="61FC5238"/>
    <w:rsid w:val="64C17B6F"/>
    <w:rsid w:val="65D80C76"/>
    <w:rsid w:val="6659436D"/>
    <w:rsid w:val="68776D2D"/>
    <w:rsid w:val="692A60A7"/>
    <w:rsid w:val="6AF42184"/>
    <w:rsid w:val="6BD46244"/>
    <w:rsid w:val="72516841"/>
    <w:rsid w:val="73C03CF9"/>
    <w:rsid w:val="742F69D6"/>
    <w:rsid w:val="78462278"/>
    <w:rsid w:val="78C4546F"/>
    <w:rsid w:val="7A4F18B8"/>
    <w:rsid w:val="7BCE6B3D"/>
    <w:rsid w:val="7BDC1103"/>
    <w:rsid w:val="7E8B7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before="240" w:after="60"/>
      <w:outlineLvl w:val="0"/>
    </w:pPr>
    <w:rPr>
      <w:rFonts w:ascii="Cambria" w:hAnsi="Cambria" w:eastAsia="宋体" w:cs="Times New Roman"/>
      <w:b/>
      <w:bCs/>
      <w:kern w:val="32"/>
      <w:sz w:val="32"/>
      <w:szCs w:val="32"/>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4">
    <w:name w:val="heading 3"/>
    <w:basedOn w:val="1"/>
    <w:next w:val="1"/>
    <w:autoRedefine/>
    <w:unhideWhenUsed/>
    <w:qFormat/>
    <w:uiPriority w:val="9"/>
    <w:pPr>
      <w:keepNext/>
      <w:keepLines/>
      <w:spacing w:before="260" w:after="260" w:line="416" w:lineRule="auto"/>
      <w:outlineLvl w:val="2"/>
    </w:pPr>
    <w:rPr>
      <w:b/>
      <w:bCs/>
      <w:sz w:val="28"/>
      <w:szCs w:val="32"/>
    </w:rPr>
  </w:style>
  <w:style w:type="paragraph" w:styleId="5">
    <w:name w:val="heading 4"/>
    <w:basedOn w:val="1"/>
    <w:next w:val="1"/>
    <w:autoRedefine/>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autoRedefine/>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6">
    <w:name w:val="Body Text"/>
    <w:basedOn w:val="1"/>
    <w:qFormat/>
    <w:uiPriority w:val="99"/>
    <w:rPr>
      <w:szCs w:val="20"/>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页眉 Char"/>
    <w:basedOn w:val="12"/>
    <w:link w:val="8"/>
    <w:qFormat/>
    <w:uiPriority w:val="0"/>
    <w:rPr>
      <w:rFonts w:asciiTheme="minorHAnsi" w:hAnsiTheme="minorHAnsi" w:eastAsiaTheme="minorEastAsia" w:cstheme="minorBidi"/>
      <w:kern w:val="2"/>
      <w:sz w:val="18"/>
      <w:szCs w:val="18"/>
    </w:rPr>
  </w:style>
  <w:style w:type="character" w:customStyle="1" w:styleId="16">
    <w:name w:val="页脚 Char"/>
    <w:basedOn w:val="12"/>
    <w:link w:val="7"/>
    <w:qFormat/>
    <w:uiPriority w:val="0"/>
    <w:rPr>
      <w:rFonts w:asciiTheme="minorHAnsi" w:hAnsiTheme="minorHAnsi" w:eastAsiaTheme="minorEastAsia" w:cstheme="minorBidi"/>
      <w:kern w:val="2"/>
      <w:sz w:val="18"/>
      <w:szCs w:val="18"/>
    </w:rPr>
  </w:style>
  <w:style w:type="paragraph" w:customStyle="1" w:styleId="17">
    <w:name w:val="List Paragraph"/>
    <w:basedOn w:val="1"/>
    <w:autoRedefine/>
    <w:qFormat/>
    <w:uiPriority w:val="34"/>
    <w:pPr>
      <w:ind w:firstLine="420" w:firstLineChars="200"/>
    </w:pPr>
  </w:style>
  <w:style w:type="paragraph" w:customStyle="1" w:styleId="18">
    <w:name w:val="null3"/>
    <w:hidden/>
    <w:qFormat/>
    <w:uiPriority w:val="0"/>
    <w:rPr>
      <w:rFonts w:hint="eastAsia" w:asciiTheme="minorHAnsi" w:hAnsiTheme="minorHAnsi" w:eastAsiaTheme="minorEastAsia" w:cstheme="minorBidi"/>
      <w:lang w:val="en-US" w:eastAsia="zh-Hans" w:bidi="ar-SA"/>
    </w:rPr>
  </w:style>
  <w:style w:type="character" w:customStyle="1" w:styleId="19">
    <w:name w:val="16"/>
    <w:qFormat/>
    <w:uiPriority w:val="0"/>
    <w:rPr>
      <w:rFonts w:hint="eastAsia" w:ascii="宋体" w:hAnsi="宋体" w:eastAsia="宋体"/>
      <w:color w:val="000000"/>
      <w:sz w:val="22"/>
      <w:szCs w:val="22"/>
    </w:rPr>
  </w:style>
  <w:style w:type="paragraph" w:customStyle="1" w:styleId="20">
    <w:name w:val="Table Text"/>
    <w:basedOn w:val="1"/>
    <w:semiHidden/>
    <w:qFormat/>
    <w:uiPriority w:val="0"/>
    <w:rPr>
      <w:rFonts w:ascii="宋体" w:hAnsi="宋体" w:eastAsia="宋体" w:cs="宋体"/>
      <w:sz w:val="25"/>
      <w:szCs w:val="25"/>
      <w:lang w:val="en-US" w:eastAsia="en-US" w:bidi="ar-SA"/>
    </w:rPr>
  </w:style>
  <w:style w:type="character" w:customStyle="1" w:styleId="21">
    <w:name w:val="标题 1 Char1"/>
    <w:qFormat/>
    <w:uiPriority w:val="0"/>
    <w:rPr>
      <w:rFonts w:ascii="Times New Roman" w:hAnsi="Times New Roman" w:eastAsia="宋体" w:cs="Times New Roman"/>
      <w:b/>
      <w:bCs/>
      <w:kern w:val="44"/>
      <w:sz w:val="3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12</Pages>
  <Words>4277</Words>
  <Characters>5164</Characters>
  <Lines>5</Lines>
  <Paragraphs>1</Paragraphs>
  <TotalTime>15</TotalTime>
  <ScaleCrop>false</ScaleCrop>
  <LinksUpToDate>false</LinksUpToDate>
  <CharactersWithSpaces>5361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2023-11-08T15:39:00Z</dcterms:created>
  <dc:creator>小珍子</dc:creator>
  <cp:lastModifiedBy>石家其</cp:lastModifiedBy>
  <cp:lastPrinted>2024-05-11T00:35:00Z</cp:lastPrinted>
  <dcterms:modified xsi:type="dcterms:W3CDTF">2026-09-30T07:21:50Z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37410562BED7475383DED8D256B6A047_13</vt:lpwstr>
  </property>
  <property fmtid="{D5CDD505-2E9C-101B-9397-08002B2CF9AE}" pid="4" name="KSOTemplateDocerSaveRecord">
    <vt:lpwstr>eyJoZGlkIjoiYWZmZjQyYjZlMzdlMWI1ZDcyNTQ2N2JmYzFkNjFjOGYiLCJ1c2VySWQiOiIxODUxMTMyODQ0In0=</vt:lpwstr>
  </property>
</Properties>
</file>