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4"/>
          <w:rFonts w:hint="eastAsia" w:ascii="Segoe UI" w:hAnsi="Segoe UI" w:cs="Segoe UI"/>
          <w:b/>
          <w:bCs/>
          <w:i w:val="0"/>
          <w:iCs w:val="0"/>
          <w:caps w:val="0"/>
          <w:color w:val="05073B"/>
          <w:spacing w:val="0"/>
          <w:sz w:val="22"/>
          <w:szCs w:val="22"/>
          <w:shd w:val="clear" w:color="auto" w:fill="FDFDFE"/>
          <w:lang w:eastAsia="zh-CN"/>
        </w:rPr>
        <w:t>贺州市中医医院</w:t>
      </w:r>
      <w:r>
        <w:rPr>
          <w:rStyle w:val="14"/>
          <w:rFonts w:hint="default" w:ascii="Segoe UI" w:hAnsi="Segoe UI" w:eastAsia="Segoe UI" w:cs="Segoe UI"/>
          <w:b/>
          <w:bCs/>
          <w:i w:val="0"/>
          <w:iCs w:val="0"/>
          <w:caps w:val="0"/>
          <w:color w:val="05073B"/>
          <w:spacing w:val="0"/>
          <w:sz w:val="22"/>
          <w:szCs w:val="22"/>
          <w:shd w:val="clear" w:color="auto" w:fill="FDFDFE"/>
        </w:rPr>
        <w:t>设备采购市场调研</w:t>
      </w:r>
      <w:r>
        <w:rPr>
          <w:rStyle w:val="14"/>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1"/>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脉动真空灭菌器</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3C5C88C7">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 主体</w:t>
            </w:r>
          </w:p>
          <w:p w14:paraId="3B07160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1CB22FDA">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1.1.1 容积：1200L。</w:t>
            </w:r>
          </w:p>
          <w:p w14:paraId="3274DADC">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1.1.2 主体结构：采用环形加强筋结构，提升内腔整体强度与稳定性；设备多点进汽、多段加热，形成合理温度梯度，促进内腔蒸汽充分对流，保证腔内温度分布均匀。</w:t>
            </w:r>
          </w:p>
          <w:p w14:paraId="479F188B">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1.1.3 焊接工艺：采用全自动焊接机器人焊接，搭配氩气保护工艺，自动控温杜绝过烧问题，有效消除不锈钢晶体间腐蚀隐患，大幅延长设备使用寿命。</w:t>
            </w:r>
          </w:p>
          <w:p w14:paraId="155E5CF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1.1.4 材质：设备内壳、夹层均采用304不锈钢材质。</w:t>
            </w:r>
          </w:p>
          <w:p w14:paraId="636C943C">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1.1.5 设计压力：-0.1/0.3Mpa。</w:t>
            </w:r>
          </w:p>
          <w:p w14:paraId="6A558AC0">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1.1.6 设计温度：140℃。</w:t>
            </w:r>
          </w:p>
          <w:p w14:paraId="7141E569">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1.1.7 使用寿命：设计使用寿命10年。</w:t>
            </w:r>
          </w:p>
          <w:p w14:paraId="28F4F092">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1.1.8 夹套结构：环形加强筋结构。</w:t>
            </w:r>
          </w:p>
          <w:p w14:paraId="52EE10D7">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1.1.9 加热方式：外接蒸汽加热。</w:t>
            </w:r>
          </w:p>
          <w:p w14:paraId="2F00459B">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55F509A4">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 密封门</w:t>
            </w:r>
          </w:p>
          <w:p w14:paraId="1213E4CD">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0641959B">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1.2.1 门数量：双门结构。</w:t>
            </w:r>
          </w:p>
          <w:p w14:paraId="5584D436">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1.2.2 材质：门板材质与设备内壳材质一致。</w:t>
            </w:r>
          </w:p>
          <w:p w14:paraId="7CD01EC9">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1.2.3 结构：门体与设备主体啮合齿数13个，门板配置4处加强筋板，结构稳固。</w:t>
            </w:r>
          </w:p>
          <w:p w14:paraId="3C19A6C5">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1.2.4 开门方式：机动自动开门。</w:t>
            </w:r>
          </w:p>
          <w:p w14:paraId="02A448C8">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1.2.5 压力安全联锁：门体完全关闭到位后，设备方可接通电源、产生蒸汽；内腔存在正压或负压状态时，门体无法开启，杜绝安全隐患。</w:t>
            </w:r>
          </w:p>
          <w:p w14:paraId="43089C6B">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1.2.6 双门互锁：双门具备互锁功能，任意一扇门未完全关闭时，另一扇门无法执行开关动作，满足洁污分区规范。</w:t>
            </w:r>
          </w:p>
          <w:p w14:paraId="33D11CD7">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1.2.7 门胶圈：采用医用透明高抗撕硅橡胶圆形胶圈，压缩气密封方式，密封性能稳定。</w:t>
            </w:r>
          </w:p>
          <w:p w14:paraId="4C2E1D71">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7326B0ED">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 管路系统</w:t>
            </w:r>
          </w:p>
          <w:p w14:paraId="2AFD97D0">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04CDC616">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1.3.1 管路材质：采用不锈钢卫生级管路，卡箍式连接，拆装便捷、不易积污。</w:t>
            </w:r>
          </w:p>
          <w:p w14:paraId="33343066">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1.3.2 真空泵：配置单级直连式水环真空泵。</w:t>
            </w:r>
          </w:p>
          <w:p w14:paraId="7B434E39">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1.3.3 阀门系统：配备优质气动阀、电磁阀，气动阀可实现400万次无故障运行，稳定性强。</w:t>
            </w:r>
          </w:p>
          <w:p w14:paraId="5798098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1.3.4 压力变送器：压力响应时间＜4ms，压力感应精准灵敏。</w:t>
            </w:r>
          </w:p>
          <w:p w14:paraId="6B7D653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1.3.5 蒸汽源：适配外接蒸汽源。</w:t>
            </w:r>
          </w:p>
          <w:p w14:paraId="0D87C31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1.3.6 降噪系统：搭载节水降噪装置，运行噪音低、节能环保。</w:t>
            </w:r>
          </w:p>
          <w:p w14:paraId="7BD4168B">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1.3.7 水回收装置：配置换热器冷凝水回收系统，有效节约能耗。</w:t>
            </w:r>
          </w:p>
          <w:p w14:paraId="0B598A3E">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1.3.8 换热装置：采用板式换热器，换热效率高、使用寿命长。</w:t>
            </w:r>
          </w:p>
          <w:p w14:paraId="045F57B6">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534707D8">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 控制系统</w:t>
            </w:r>
          </w:p>
          <w:p w14:paraId="60300A7E">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409DA0C1">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1.4.1 控制核心：采用工业级PLC控制系统，拒绝安卓等民用系统，运行稳定、抗干扰性强。</w:t>
            </w:r>
          </w:p>
          <w:p w14:paraId="196361E4">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1.4.2 显示屏幕：配备8.4英寸彩色触摸屏，区别于传统彩色按键屏，操作直观便捷。</w:t>
            </w:r>
          </w:p>
          <w:p w14:paraId="290CA77D">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1.4.3 记录方式</w:t>
            </w:r>
          </w:p>
          <w:p w14:paraId="016685E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1.4.3.1 触摸屏记录：设备报警信息自动存储于触摸屏，可随时查阅调取。</w:t>
            </w:r>
          </w:p>
          <w:p w14:paraId="0CB4281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1.4.3.2 热敏打印机记录：内置热敏打印机，可实时打印程序全程运行数据及信息。</w:t>
            </w:r>
          </w:p>
          <w:p w14:paraId="631C89E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1.4.4 记录内容：可完整打印程序运行过程中的各类关键报警信息，便于质控追溯。</w:t>
            </w:r>
          </w:p>
          <w:p w14:paraId="69B0BB37">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1.4.5 数据保存：适配热敏打印纸，适宜环境下数据可保存5年。</w:t>
            </w:r>
          </w:p>
          <w:p w14:paraId="3B537C4A">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1.4.6 多级权限管理</w:t>
            </w:r>
          </w:p>
          <w:p w14:paraId="2FFE8D30">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1.4.6.1 操作人员权限：可进行设备常规操作，配备独立用户名、密码及专属操作权限。</w:t>
            </w:r>
          </w:p>
          <w:p w14:paraId="69A91FA7">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1.4.6.2 监督人员权限：包含操作人员全部权限，可修改简易程序参数。</w:t>
            </w:r>
          </w:p>
          <w:p w14:paraId="38B1E76A">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1.4.6.3 技术人员权限：包含监督人员全部权限，可修改常用系统设置。</w:t>
            </w:r>
          </w:p>
          <w:p w14:paraId="70DF2138">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1.4.6.4 服务人员权限：包含技术人员全部权限，可调整高级系统及程序设置。</w:t>
            </w:r>
          </w:p>
          <w:p w14:paraId="3F3A4E77">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1.4.6.5 制造商权限：拥有最高权限，可配置设备底层安全参数及授权增值功能。</w:t>
            </w:r>
          </w:p>
          <w:p w14:paraId="6CE01DC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2A919BC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1.4.7 安全保护功能</w:t>
            </w:r>
          </w:p>
          <w:p w14:paraId="7719AFDA">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1.4.7.1 超压保护：当内腔压力超出程序设定允许范围时，设备自动终止运行，进入故障保护模式。</w:t>
            </w:r>
          </w:p>
          <w:p w14:paraId="42E16A55">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1.4.7.2 门关位检测保护：程序运行全程实时监测门体状态，门体闭合异常时，设备自动停机报错，保障运行安全。</w:t>
            </w:r>
          </w:p>
          <w:p w14:paraId="36D76CDA">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7E84873A">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 程序系统</w:t>
            </w:r>
          </w:p>
          <w:p w14:paraId="75A9CD4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19B97ECE">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1.5.1 程序种类：内置30套灭菌程序，投标文件可提供设备屏幕实拍照片佐证。</w:t>
            </w:r>
          </w:p>
          <w:p w14:paraId="6D5E2A21">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1.5.2 标准循环时间：设备标准灭菌循环时长≤55分钟。</w:t>
            </w:r>
          </w:p>
          <w:p w14:paraId="47692E10">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1.5.3 脉动参数：标准循环配置3次负压脉动、1次跨压脉动、3次正压脉动；脉动次数可在0～99次范围内任意设定。</w:t>
            </w:r>
          </w:p>
          <w:p w14:paraId="1245FF9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1.5.4 灭菌温度：标准灭菌温度121℃、134℃；温度可调范围115℃～138℃。</w:t>
            </w:r>
          </w:p>
          <w:p w14:paraId="5C9DB9DD">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1.5.5 灭菌时间：标准程序121℃灭菌20分钟、134℃灭菌5分钟；灭菌时长可在0～9999秒范围内自由设定。</w:t>
            </w:r>
          </w:p>
          <w:p w14:paraId="4420E298">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1.5.6 干燥时间：干燥时长可在0～9999秒范围内自由设定，适配各类器械干燥需求。</w:t>
            </w:r>
          </w:p>
          <w:p w14:paraId="0CCB5E2C">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388E694D">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1.6 物品装载及拓展功能</w:t>
            </w:r>
          </w:p>
          <w:p w14:paraId="7B4862E3">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 xml:space="preserve"> </w:t>
            </w:r>
          </w:p>
          <w:p w14:paraId="7CDAF659">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1.6.1 装载方式：采用专用消毒车搭配搬运车的组合式装载方式，装卸高效便捷。</w:t>
            </w:r>
          </w:p>
          <w:p w14:paraId="439B3180">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1.6.2 装载车材质：全部采用SUS304医用不锈钢材质，耐腐蚀、易清洁。</w:t>
            </w:r>
          </w:p>
          <w:p w14:paraId="39B8634F">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1.6.3 设备外形尺寸：1450mm×1990mm×1760mm（宽×高×长）。</w:t>
            </w:r>
          </w:p>
          <w:p w14:paraId="2CEB52CC">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1.6.4 设备内室尺寸：680mm×1180mm×1500mm（宽×高×长）。</w:t>
            </w:r>
          </w:p>
          <w:p w14:paraId="1469AA96">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1.6.5 追溯对接：设备可无缝对接医院现有消毒供应追溯系统，支持数据双向传输，实现灭菌全过程信息化追溯。</w:t>
            </w:r>
          </w:p>
          <w:p w14:paraId="3BFA74F9">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bookmarkStart w:id="6" w:name="_GoBack"/>
            <w:bookmarkEnd w:id="6"/>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10"/>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4"/>
        <w:rPr>
          <w:szCs w:val="30"/>
        </w:rPr>
      </w:pPr>
      <w:bookmarkStart w:id="0" w:name="_Toc8052"/>
      <w:r>
        <w:rPr>
          <w:rFonts w:hint="eastAsia"/>
          <w:szCs w:val="30"/>
        </w:rPr>
        <w:t>二、调查内容</w:t>
      </w:r>
    </w:p>
    <w:p w14:paraId="183F1511">
      <w:pPr>
        <w:pStyle w:val="5"/>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5"/>
      </w:pPr>
      <w:r>
        <w:rPr>
          <w:rFonts w:hint="eastAsia"/>
        </w:rPr>
        <w:t>2、</w:t>
      </w:r>
      <w:bookmarkEnd w:id="0"/>
      <w:r>
        <w:rPr>
          <w:rFonts w:hint="eastAsia"/>
        </w:rPr>
        <w:t>资料要求</w:t>
      </w:r>
    </w:p>
    <w:p w14:paraId="3E4997ED">
      <w:pPr>
        <w:pStyle w:val="7"/>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7"/>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5"/>
      </w:pPr>
      <w:bookmarkStart w:id="2" w:name="_Toc24690"/>
      <w:r>
        <w:rPr>
          <w:rFonts w:hint="eastAsia"/>
        </w:rPr>
        <w:t>3、市场调查情况说明</w:t>
      </w:r>
    </w:p>
    <w:p w14:paraId="7EC6A056">
      <w:pPr>
        <w:pStyle w:val="18"/>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8"/>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8"/>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8"/>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8"/>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8"/>
        <w:spacing w:line="360" w:lineRule="auto"/>
        <w:ind w:left="1200" w:firstLine="0" w:firstLineChars="0"/>
        <w:jc w:val="left"/>
        <w:rPr>
          <w:sz w:val="24"/>
          <w:szCs w:val="24"/>
        </w:rPr>
      </w:pPr>
    </w:p>
    <w:p w14:paraId="51D13ADA">
      <w:pPr>
        <w:pStyle w:val="18"/>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8"/>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8"/>
        <w:spacing w:line="360" w:lineRule="auto"/>
        <w:ind w:left="1200" w:firstLine="0" w:firstLineChars="0"/>
        <w:jc w:val="left"/>
        <w:rPr>
          <w:sz w:val="24"/>
          <w:szCs w:val="24"/>
        </w:rPr>
      </w:pPr>
    </w:p>
    <w:p w14:paraId="63229391">
      <w:pPr>
        <w:pStyle w:val="18"/>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2"/>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7"/>
              <w:jc w:val="center"/>
              <w:rPr>
                <w:sz w:val="24"/>
                <w:szCs w:val="24"/>
              </w:rPr>
            </w:pPr>
            <w:r>
              <w:rPr>
                <w:rFonts w:hint="eastAsia"/>
                <w:sz w:val="24"/>
                <w:szCs w:val="24"/>
              </w:rPr>
              <w:t>序号</w:t>
            </w:r>
          </w:p>
        </w:tc>
        <w:tc>
          <w:tcPr>
            <w:tcW w:w="1387" w:type="dxa"/>
            <w:vAlign w:val="center"/>
          </w:tcPr>
          <w:p w14:paraId="27F9A7DA">
            <w:pPr>
              <w:pStyle w:val="7"/>
              <w:jc w:val="center"/>
              <w:rPr>
                <w:sz w:val="24"/>
                <w:szCs w:val="24"/>
              </w:rPr>
            </w:pPr>
            <w:r>
              <w:rPr>
                <w:sz w:val="24"/>
                <w:szCs w:val="24"/>
              </w:rPr>
              <w:t>产品名称</w:t>
            </w:r>
          </w:p>
        </w:tc>
        <w:tc>
          <w:tcPr>
            <w:tcW w:w="1913" w:type="dxa"/>
            <w:vAlign w:val="center"/>
          </w:tcPr>
          <w:p w14:paraId="63E1DB7D">
            <w:pPr>
              <w:pStyle w:val="7"/>
              <w:jc w:val="center"/>
              <w:rPr>
                <w:sz w:val="24"/>
                <w:szCs w:val="24"/>
              </w:rPr>
            </w:pPr>
            <w:r>
              <w:rPr>
                <w:sz w:val="24"/>
                <w:szCs w:val="24"/>
              </w:rPr>
              <w:t>制造商或服务商</w:t>
            </w:r>
          </w:p>
        </w:tc>
        <w:tc>
          <w:tcPr>
            <w:tcW w:w="1199" w:type="dxa"/>
            <w:vAlign w:val="center"/>
          </w:tcPr>
          <w:p w14:paraId="348BF487">
            <w:pPr>
              <w:pStyle w:val="7"/>
              <w:jc w:val="center"/>
              <w:rPr>
                <w:sz w:val="24"/>
                <w:szCs w:val="24"/>
              </w:rPr>
            </w:pPr>
            <w:r>
              <w:rPr>
                <w:sz w:val="24"/>
                <w:szCs w:val="24"/>
              </w:rPr>
              <w:t>规格型号</w:t>
            </w:r>
          </w:p>
        </w:tc>
        <w:tc>
          <w:tcPr>
            <w:tcW w:w="1295" w:type="dxa"/>
            <w:vAlign w:val="center"/>
          </w:tcPr>
          <w:p w14:paraId="3567E33B">
            <w:pPr>
              <w:pStyle w:val="7"/>
              <w:jc w:val="center"/>
              <w:rPr>
                <w:sz w:val="24"/>
                <w:szCs w:val="24"/>
              </w:rPr>
            </w:pPr>
            <w:r>
              <w:rPr>
                <w:rFonts w:hint="eastAsia"/>
                <w:sz w:val="24"/>
                <w:szCs w:val="24"/>
              </w:rPr>
              <w:t>成交价</w:t>
            </w:r>
          </w:p>
        </w:tc>
        <w:tc>
          <w:tcPr>
            <w:tcW w:w="1360" w:type="dxa"/>
            <w:vAlign w:val="center"/>
          </w:tcPr>
          <w:p w14:paraId="2B6674B7">
            <w:pPr>
              <w:pStyle w:val="7"/>
              <w:jc w:val="center"/>
              <w:rPr>
                <w:sz w:val="24"/>
                <w:szCs w:val="24"/>
              </w:rPr>
            </w:pPr>
            <w:r>
              <w:rPr>
                <w:sz w:val="24"/>
                <w:szCs w:val="24"/>
              </w:rPr>
              <w:t>采购单位</w:t>
            </w:r>
          </w:p>
        </w:tc>
        <w:tc>
          <w:tcPr>
            <w:tcW w:w="1328" w:type="dxa"/>
          </w:tcPr>
          <w:p w14:paraId="79E3C148">
            <w:pPr>
              <w:pStyle w:val="7"/>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7"/>
              <w:jc w:val="center"/>
              <w:rPr>
                <w:sz w:val="24"/>
                <w:szCs w:val="24"/>
              </w:rPr>
            </w:pPr>
          </w:p>
        </w:tc>
        <w:tc>
          <w:tcPr>
            <w:tcW w:w="1387" w:type="dxa"/>
          </w:tcPr>
          <w:p w14:paraId="1B52B6AF">
            <w:pPr>
              <w:pStyle w:val="7"/>
              <w:jc w:val="center"/>
              <w:rPr>
                <w:sz w:val="24"/>
                <w:szCs w:val="24"/>
              </w:rPr>
            </w:pPr>
          </w:p>
        </w:tc>
        <w:tc>
          <w:tcPr>
            <w:tcW w:w="1913" w:type="dxa"/>
          </w:tcPr>
          <w:p w14:paraId="6F91CA98">
            <w:pPr>
              <w:pStyle w:val="7"/>
              <w:jc w:val="center"/>
              <w:rPr>
                <w:sz w:val="24"/>
                <w:szCs w:val="24"/>
              </w:rPr>
            </w:pPr>
          </w:p>
        </w:tc>
        <w:tc>
          <w:tcPr>
            <w:tcW w:w="1199" w:type="dxa"/>
          </w:tcPr>
          <w:p w14:paraId="17D8146C">
            <w:pPr>
              <w:pStyle w:val="7"/>
              <w:jc w:val="center"/>
              <w:rPr>
                <w:sz w:val="24"/>
                <w:szCs w:val="24"/>
              </w:rPr>
            </w:pPr>
          </w:p>
        </w:tc>
        <w:tc>
          <w:tcPr>
            <w:tcW w:w="1295" w:type="dxa"/>
          </w:tcPr>
          <w:p w14:paraId="3DBA9C20">
            <w:pPr>
              <w:pStyle w:val="7"/>
              <w:jc w:val="center"/>
              <w:rPr>
                <w:sz w:val="24"/>
                <w:szCs w:val="24"/>
              </w:rPr>
            </w:pPr>
          </w:p>
        </w:tc>
        <w:tc>
          <w:tcPr>
            <w:tcW w:w="1360" w:type="dxa"/>
          </w:tcPr>
          <w:p w14:paraId="6C663B1E">
            <w:pPr>
              <w:pStyle w:val="7"/>
              <w:jc w:val="center"/>
              <w:rPr>
                <w:sz w:val="24"/>
                <w:szCs w:val="24"/>
              </w:rPr>
            </w:pPr>
          </w:p>
        </w:tc>
        <w:tc>
          <w:tcPr>
            <w:tcW w:w="1328" w:type="dxa"/>
          </w:tcPr>
          <w:p w14:paraId="0C3EAF0B">
            <w:pPr>
              <w:pStyle w:val="7"/>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7"/>
              <w:jc w:val="center"/>
              <w:rPr>
                <w:sz w:val="24"/>
                <w:szCs w:val="24"/>
              </w:rPr>
            </w:pPr>
          </w:p>
        </w:tc>
        <w:tc>
          <w:tcPr>
            <w:tcW w:w="1387" w:type="dxa"/>
          </w:tcPr>
          <w:p w14:paraId="08628089">
            <w:pPr>
              <w:pStyle w:val="7"/>
              <w:jc w:val="center"/>
              <w:rPr>
                <w:sz w:val="24"/>
                <w:szCs w:val="24"/>
              </w:rPr>
            </w:pPr>
          </w:p>
        </w:tc>
        <w:tc>
          <w:tcPr>
            <w:tcW w:w="1913" w:type="dxa"/>
          </w:tcPr>
          <w:p w14:paraId="2B047814">
            <w:pPr>
              <w:pStyle w:val="7"/>
              <w:jc w:val="center"/>
              <w:rPr>
                <w:sz w:val="24"/>
                <w:szCs w:val="24"/>
              </w:rPr>
            </w:pPr>
          </w:p>
        </w:tc>
        <w:tc>
          <w:tcPr>
            <w:tcW w:w="1199" w:type="dxa"/>
          </w:tcPr>
          <w:p w14:paraId="6BD9ED73">
            <w:pPr>
              <w:pStyle w:val="7"/>
              <w:jc w:val="center"/>
              <w:rPr>
                <w:sz w:val="24"/>
                <w:szCs w:val="24"/>
              </w:rPr>
            </w:pPr>
          </w:p>
        </w:tc>
        <w:tc>
          <w:tcPr>
            <w:tcW w:w="1295" w:type="dxa"/>
          </w:tcPr>
          <w:p w14:paraId="0B2CC433">
            <w:pPr>
              <w:pStyle w:val="7"/>
              <w:jc w:val="center"/>
              <w:rPr>
                <w:sz w:val="24"/>
                <w:szCs w:val="24"/>
              </w:rPr>
            </w:pPr>
          </w:p>
        </w:tc>
        <w:tc>
          <w:tcPr>
            <w:tcW w:w="1360" w:type="dxa"/>
          </w:tcPr>
          <w:p w14:paraId="5D2BA18E">
            <w:pPr>
              <w:pStyle w:val="7"/>
              <w:jc w:val="center"/>
              <w:rPr>
                <w:sz w:val="24"/>
                <w:szCs w:val="24"/>
              </w:rPr>
            </w:pPr>
          </w:p>
        </w:tc>
        <w:tc>
          <w:tcPr>
            <w:tcW w:w="1328" w:type="dxa"/>
          </w:tcPr>
          <w:p w14:paraId="05ADACED">
            <w:pPr>
              <w:pStyle w:val="7"/>
              <w:jc w:val="center"/>
              <w:rPr>
                <w:sz w:val="24"/>
                <w:szCs w:val="24"/>
              </w:rPr>
            </w:pPr>
          </w:p>
        </w:tc>
      </w:tr>
    </w:tbl>
    <w:p w14:paraId="2AFDB5C6">
      <w:pPr>
        <w:pStyle w:val="18"/>
        <w:spacing w:line="360" w:lineRule="auto"/>
        <w:ind w:left="1200" w:firstLine="0" w:firstLineChars="0"/>
        <w:jc w:val="left"/>
        <w:rPr>
          <w:sz w:val="24"/>
          <w:szCs w:val="24"/>
        </w:rPr>
      </w:pPr>
    </w:p>
    <w:p w14:paraId="69202F42">
      <w:pPr>
        <w:pStyle w:val="18"/>
        <w:spacing w:line="360" w:lineRule="auto"/>
        <w:ind w:left="1200" w:firstLine="0" w:firstLineChars="0"/>
        <w:jc w:val="left"/>
        <w:rPr>
          <w:sz w:val="24"/>
          <w:szCs w:val="24"/>
        </w:rPr>
      </w:pPr>
    </w:p>
    <w:p w14:paraId="5DDA8DA7">
      <w:pPr>
        <w:pStyle w:val="7"/>
      </w:pPr>
    </w:p>
    <w:p w14:paraId="6E17E2C6">
      <w:pPr>
        <w:widowControl/>
        <w:jc w:val="left"/>
        <w:rPr>
          <w:b/>
          <w:bCs/>
          <w:sz w:val="28"/>
          <w:szCs w:val="32"/>
        </w:rPr>
      </w:pPr>
      <w:r>
        <w:br w:type="page"/>
      </w:r>
    </w:p>
    <w:p w14:paraId="349BD741">
      <w:pPr>
        <w:pStyle w:val="5"/>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1"/>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5"/>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5"/>
      </w:pPr>
      <w:r>
        <w:rPr>
          <w:rFonts w:hint="eastAsia"/>
        </w:rPr>
        <w:t>6、</w:t>
      </w:r>
      <w:bookmarkStart w:id="4" w:name="_Toc37256575"/>
      <w:bookmarkStart w:id="5" w:name="_Toc5245"/>
      <w:r>
        <w:rPr>
          <w:rFonts w:hint="eastAsia"/>
        </w:rPr>
        <w:t>报价一览表</w:t>
      </w:r>
      <w:bookmarkEnd w:id="2"/>
      <w:bookmarkEnd w:id="4"/>
      <w:bookmarkEnd w:id="5"/>
    </w:p>
    <w:tbl>
      <w:tblPr>
        <w:tblStyle w:val="11"/>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7"/>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7"/>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7"/>
      </w:pPr>
    </w:p>
    <w:p w14:paraId="6A334546">
      <w:pPr>
        <w:pStyle w:val="7"/>
      </w:pPr>
    </w:p>
    <w:p w14:paraId="2BF12453">
      <w:pPr>
        <w:pStyle w:val="7"/>
      </w:pPr>
    </w:p>
    <w:p w14:paraId="596DA215">
      <w:pPr>
        <w:pStyle w:val="7"/>
      </w:pPr>
    </w:p>
    <w:p w14:paraId="51D4CD71">
      <w:pPr>
        <w:pStyle w:val="7"/>
      </w:pPr>
    </w:p>
    <w:p w14:paraId="12B26632">
      <w:pPr>
        <w:pStyle w:val="7"/>
      </w:pPr>
    </w:p>
    <w:p w14:paraId="0D657DF5">
      <w:pPr>
        <w:pStyle w:val="7"/>
      </w:pPr>
    </w:p>
    <w:p w14:paraId="6A0BB67D">
      <w:pPr>
        <w:pStyle w:val="7"/>
      </w:pPr>
    </w:p>
    <w:p w14:paraId="6C9EBD66">
      <w:pPr>
        <w:pStyle w:val="5"/>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1DB81443"/>
    <w:rsid w:val="1EC526E5"/>
    <w:rsid w:val="238C64A5"/>
    <w:rsid w:val="25A16BBC"/>
    <w:rsid w:val="260414BA"/>
    <w:rsid w:val="26785286"/>
    <w:rsid w:val="268765B7"/>
    <w:rsid w:val="27865287"/>
    <w:rsid w:val="2B894753"/>
    <w:rsid w:val="2EA045CD"/>
    <w:rsid w:val="33694A9C"/>
    <w:rsid w:val="33B14523"/>
    <w:rsid w:val="34CE72A2"/>
    <w:rsid w:val="35045B31"/>
    <w:rsid w:val="37621F23"/>
    <w:rsid w:val="38C45850"/>
    <w:rsid w:val="3A1219DE"/>
    <w:rsid w:val="3A9B53BA"/>
    <w:rsid w:val="3D8E4AC7"/>
    <w:rsid w:val="40CE4A65"/>
    <w:rsid w:val="431C5BFA"/>
    <w:rsid w:val="45576E3F"/>
    <w:rsid w:val="464C1549"/>
    <w:rsid w:val="47355901"/>
    <w:rsid w:val="49624616"/>
    <w:rsid w:val="49F35BEF"/>
    <w:rsid w:val="4D2453B4"/>
    <w:rsid w:val="4D673998"/>
    <w:rsid w:val="51960CEF"/>
    <w:rsid w:val="519D207E"/>
    <w:rsid w:val="529E7E5B"/>
    <w:rsid w:val="53787036"/>
    <w:rsid w:val="57BE4AFC"/>
    <w:rsid w:val="581B3CFC"/>
    <w:rsid w:val="5BA2386D"/>
    <w:rsid w:val="5BC77AB3"/>
    <w:rsid w:val="5F1B480F"/>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4">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5">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6">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3">
    <w:name w:val="Default Paragraph Font"/>
    <w:autoRedefine/>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customStyle="1" w:styleId="2">
    <w:name w:val="表格文字"/>
    <w:basedOn w:val="1"/>
    <w:next w:val="1"/>
    <w:qFormat/>
    <w:uiPriority w:val="99"/>
    <w:pPr>
      <w:spacing w:before="25" w:after="25"/>
      <w:jc w:val="left"/>
    </w:pPr>
    <w:rPr>
      <w:bCs/>
      <w:spacing w:val="10"/>
      <w:kern w:val="0"/>
      <w:sz w:val="24"/>
    </w:rPr>
  </w:style>
  <w:style w:type="paragraph" w:styleId="7">
    <w:name w:val="Body Text"/>
    <w:basedOn w:val="1"/>
    <w:qFormat/>
    <w:uiPriority w:val="99"/>
    <w:rPr>
      <w:szCs w:val="20"/>
    </w:rPr>
  </w:style>
  <w:style w:type="paragraph" w:styleId="8">
    <w:name w:val="footer"/>
    <w:basedOn w:val="1"/>
    <w:link w:val="17"/>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页眉 Char"/>
    <w:basedOn w:val="13"/>
    <w:link w:val="9"/>
    <w:qFormat/>
    <w:uiPriority w:val="0"/>
    <w:rPr>
      <w:rFonts w:asciiTheme="minorHAnsi" w:hAnsiTheme="minorHAnsi" w:eastAsiaTheme="minorEastAsia" w:cstheme="minorBidi"/>
      <w:kern w:val="2"/>
      <w:sz w:val="18"/>
      <w:szCs w:val="18"/>
    </w:rPr>
  </w:style>
  <w:style w:type="character" w:customStyle="1" w:styleId="17">
    <w:name w:val="页脚 Char"/>
    <w:basedOn w:val="13"/>
    <w:link w:val="8"/>
    <w:qFormat/>
    <w:uiPriority w:val="0"/>
    <w:rPr>
      <w:rFonts w:asciiTheme="minorHAnsi" w:hAnsiTheme="minorHAnsi" w:eastAsiaTheme="minorEastAsia" w:cstheme="minorBidi"/>
      <w:kern w:val="2"/>
      <w:sz w:val="18"/>
      <w:szCs w:val="18"/>
    </w:rPr>
  </w:style>
  <w:style w:type="paragraph" w:customStyle="1" w:styleId="18">
    <w:name w:val="List Paragraph"/>
    <w:basedOn w:val="1"/>
    <w:autoRedefine/>
    <w:qFormat/>
    <w:uiPriority w:val="34"/>
    <w:pPr>
      <w:ind w:firstLine="420" w:firstLineChars="200"/>
    </w:pPr>
  </w:style>
  <w:style w:type="paragraph" w:customStyle="1" w:styleId="19">
    <w:name w:val="null3"/>
    <w:hidden/>
    <w:qFormat/>
    <w:uiPriority w:val="0"/>
    <w:rPr>
      <w:rFonts w:hint="eastAsia" w:asciiTheme="minorHAnsi" w:hAnsiTheme="minorHAnsi" w:eastAsiaTheme="minorEastAsia" w:cstheme="minorBidi"/>
      <w:lang w:val="en-US" w:eastAsia="zh-Hans" w:bidi="ar-SA"/>
    </w:rPr>
  </w:style>
  <w:style w:type="character" w:customStyle="1" w:styleId="20">
    <w:name w:val="16"/>
    <w:qFormat/>
    <w:uiPriority w:val="0"/>
    <w:rPr>
      <w:rFonts w:hint="eastAsia" w:ascii="宋体" w:hAnsi="宋体" w:eastAsia="宋体"/>
      <w:color w:val="000000"/>
      <w:sz w:val="22"/>
      <w:szCs w:val="22"/>
    </w:rPr>
  </w:style>
  <w:style w:type="paragraph" w:customStyle="1" w:styleId="21">
    <w:name w:val="Table Text"/>
    <w:basedOn w:val="1"/>
    <w:semiHidden/>
    <w:qFormat/>
    <w:uiPriority w:val="0"/>
    <w:rPr>
      <w:rFonts w:ascii="宋体" w:hAnsi="宋体" w:eastAsia="宋体" w:cs="宋体"/>
      <w:sz w:val="25"/>
      <w:szCs w:val="25"/>
      <w:lang w:val="en-US" w:eastAsia="en-US" w:bidi="ar-SA"/>
    </w:rPr>
  </w:style>
  <w:style w:type="character" w:customStyle="1" w:styleId="22">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2736</Words>
  <Characters>3148</Characters>
  <Lines>5</Lines>
  <Paragraphs>1</Paragraphs>
  <TotalTime>0</TotalTime>
  <ScaleCrop>false</ScaleCrop>
  <LinksUpToDate>false</LinksUpToDate>
  <CharactersWithSpaces>3315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